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69" w:rsidRDefault="005C0E69" w:rsidP="00BB0D3B">
      <w:pPr>
        <w:jc w:val="center"/>
      </w:pPr>
      <w:r>
        <w:rPr>
          <w:sz w:val="28"/>
          <w:szCs w:val="28"/>
        </w:rPr>
        <w:br/>
      </w:r>
      <w:r w:rsidR="002161A6">
        <w:rPr>
          <w:b/>
          <w:bCs/>
          <w:sz w:val="28"/>
          <w:szCs w:val="28"/>
        </w:rPr>
        <w:t xml:space="preserve">        </w:t>
      </w:r>
      <w:r w:rsidR="00BB0D3B" w:rsidRPr="00BB0D3B">
        <w:rPr>
          <w:rFonts w:ascii="Bookman Old Style" w:hAnsi="Bookman Old Style"/>
          <w:b/>
          <w:bCs/>
          <w:sz w:val="40"/>
          <w:szCs w:val="40"/>
        </w:rPr>
        <w:t>V</w:t>
      </w:r>
      <w:r w:rsidR="00BB0D3B">
        <w:rPr>
          <w:rFonts w:ascii="Bookman Old Style" w:hAnsi="Bookman Old Style"/>
          <w:b/>
          <w:bCs/>
          <w:sz w:val="40"/>
          <w:szCs w:val="40"/>
        </w:rPr>
        <w:t>ICTIM AND WITNESS RIGHTS</w:t>
      </w:r>
    </w:p>
    <w:p w:rsidR="005C0E69" w:rsidRDefault="005C0E69"/>
    <w:p w:rsidR="005C0E69" w:rsidRDefault="005C0E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BB0D3B" w:rsidTr="00F156F4">
        <w:trPr>
          <w:cantSplit/>
          <w:trHeight w:val="1232"/>
          <w:jc w:val="center"/>
        </w:trPr>
        <w:tc>
          <w:tcPr>
            <w:tcW w:w="5181" w:type="dxa"/>
            <w:vMerge w:val="restart"/>
            <w:tcBorders>
              <w:bottom w:val="nil"/>
            </w:tcBorders>
            <w:vAlign w:val="center"/>
          </w:tcPr>
          <w:p w:rsidR="00BB0D3B" w:rsidRDefault="00BB0D3B" w:rsidP="00F156F4">
            <w:pPr>
              <w:pStyle w:val="BodyText"/>
              <w:jc w:val="center"/>
              <w:rPr>
                <w:sz w:val="32"/>
              </w:rPr>
            </w:pPr>
            <w:r>
              <w:rPr>
                <w:sz w:val="32"/>
              </w:rPr>
              <w:t xml:space="preserve">GREAT </w:t>
            </w:r>
            <w:smartTag w:uri="urn:schemas-microsoft-com:office:smarttags" w:element="PlaceName">
              <w:smartTag w:uri="urn:schemas-microsoft-com:office:smarttags" w:element="place">
                <w:r>
                  <w:rPr>
                    <w:sz w:val="32"/>
                  </w:rPr>
                  <w:t>BARRINGTON</w:t>
                </w:r>
              </w:smartTag>
            </w:smartTag>
          </w:p>
          <w:p w:rsidR="00BB0D3B" w:rsidRDefault="00BB0D3B" w:rsidP="00F156F4">
            <w:pPr>
              <w:pStyle w:val="BodyText"/>
              <w:jc w:val="center"/>
              <w:rPr>
                <w:sz w:val="32"/>
              </w:rPr>
            </w:pPr>
            <w:r>
              <w:rPr>
                <w:sz w:val="32"/>
              </w:rPr>
              <w:t>POLICE DEPARTMENT                                         POLICY &amp; PROCEDURE NO.</w:t>
            </w:r>
          </w:p>
          <w:p w:rsidR="00BB0D3B" w:rsidRDefault="008A6A9E" w:rsidP="008A6A9E">
            <w:pPr>
              <w:pStyle w:val="BodyText"/>
              <w:jc w:val="center"/>
              <w:rPr>
                <w:b/>
              </w:rPr>
            </w:pPr>
            <w:r>
              <w:rPr>
                <w:b/>
                <w:sz w:val="32"/>
              </w:rPr>
              <w:t>4.43</w:t>
            </w:r>
          </w:p>
        </w:tc>
        <w:tc>
          <w:tcPr>
            <w:tcW w:w="3600" w:type="dxa"/>
            <w:tcBorders>
              <w:bottom w:val="single" w:sz="4" w:space="0" w:color="auto"/>
            </w:tcBorders>
            <w:vAlign w:val="center"/>
          </w:tcPr>
          <w:p w:rsidR="00BB0D3B" w:rsidRDefault="00BB0D3B" w:rsidP="00F156F4">
            <w:pPr>
              <w:pStyle w:val="BodyText"/>
            </w:pPr>
            <w:r>
              <w:t>EFFECTIVE</w:t>
            </w:r>
          </w:p>
          <w:p w:rsidR="00000558" w:rsidRPr="00FD1518" w:rsidRDefault="00BB0D3B" w:rsidP="00BB0D3B">
            <w:pPr>
              <w:pStyle w:val="BodyText"/>
            </w:pPr>
            <w:r>
              <w:t>DATE:</w:t>
            </w:r>
            <w:r w:rsidR="00000558">
              <w:t xml:space="preserve"> 11/9/15</w:t>
            </w:r>
          </w:p>
        </w:tc>
      </w:tr>
      <w:tr w:rsidR="00BB0D3B" w:rsidTr="00F156F4">
        <w:trPr>
          <w:cantSplit/>
          <w:trHeight w:val="652"/>
          <w:jc w:val="center"/>
        </w:trPr>
        <w:tc>
          <w:tcPr>
            <w:tcW w:w="5181" w:type="dxa"/>
            <w:vMerge/>
            <w:tcBorders>
              <w:bottom w:val="single" w:sz="4" w:space="0" w:color="auto"/>
            </w:tcBorders>
            <w:vAlign w:val="center"/>
          </w:tcPr>
          <w:p w:rsidR="00BB0D3B" w:rsidRDefault="00BB0D3B" w:rsidP="00F156F4">
            <w:pPr>
              <w:jc w:val="center"/>
              <w:rPr>
                <w:sz w:val="28"/>
              </w:rPr>
            </w:pPr>
          </w:p>
        </w:tc>
        <w:tc>
          <w:tcPr>
            <w:tcW w:w="3600" w:type="dxa"/>
            <w:vMerge w:val="restart"/>
            <w:tcBorders>
              <w:bottom w:val="nil"/>
            </w:tcBorders>
            <w:vAlign w:val="center"/>
          </w:tcPr>
          <w:p w:rsidR="00BB0D3B" w:rsidRDefault="00BB0D3B" w:rsidP="00F156F4">
            <w:pPr>
              <w:pStyle w:val="BodyText"/>
            </w:pPr>
            <w:r>
              <w:t>REVISION</w:t>
            </w:r>
          </w:p>
          <w:p w:rsidR="00BB0D3B" w:rsidRPr="00FD1518" w:rsidRDefault="00BB0D3B" w:rsidP="00F156F4">
            <w:pPr>
              <w:pStyle w:val="BodyText"/>
              <w:rPr>
                <w:u w:val="single"/>
              </w:rPr>
            </w:pPr>
            <w:r>
              <w:t xml:space="preserve">DATE: </w:t>
            </w:r>
          </w:p>
        </w:tc>
      </w:tr>
      <w:tr w:rsidR="00BB0D3B" w:rsidRPr="00795674" w:rsidTr="00F156F4">
        <w:trPr>
          <w:cantSplit/>
          <w:trHeight w:val="652"/>
          <w:jc w:val="center"/>
        </w:trPr>
        <w:tc>
          <w:tcPr>
            <w:tcW w:w="5181" w:type="dxa"/>
            <w:vMerge w:val="restart"/>
            <w:vAlign w:val="center"/>
          </w:tcPr>
          <w:p w:rsidR="00BB0D3B" w:rsidRPr="00795674" w:rsidRDefault="00BB0D3B" w:rsidP="00F156F4">
            <w:pPr>
              <w:pStyle w:val="BodyText"/>
              <w:jc w:val="center"/>
            </w:pPr>
            <w:smartTag w:uri="urn:schemas-microsoft-com:office:smarttags" w:element="place">
              <w:smartTag w:uri="urn:schemas-microsoft-com:office:smarttags" w:element="State">
                <w:r w:rsidRPr="00795674">
                  <w:t>MASSACHUSETTS</w:t>
                </w:r>
              </w:smartTag>
            </w:smartTag>
            <w:r w:rsidRPr="00795674">
              <w:t xml:space="preserve"> POLICE ACCREDITATION STANDARDS</w:t>
            </w:r>
          </w:p>
          <w:p w:rsidR="00BB0D3B" w:rsidRPr="00795674" w:rsidRDefault="00BB0D3B" w:rsidP="00F156F4">
            <w:pPr>
              <w:jc w:val="center"/>
              <w:rPr>
                <w:rFonts w:ascii="Bookman Old Style" w:hAnsi="Bookman Old Style"/>
              </w:rPr>
            </w:pPr>
            <w:r w:rsidRPr="00795674">
              <w:rPr>
                <w:rFonts w:ascii="Bookman Old Style" w:hAnsi="Bookman Old Style"/>
                <w:sz w:val="28"/>
              </w:rPr>
              <w:t xml:space="preserve">REFERENCED:  </w:t>
            </w:r>
            <w:r w:rsidRPr="00795674">
              <w:rPr>
                <w:rFonts w:ascii="Bookman Old Style" w:hAnsi="Bookman Old Style"/>
                <w:b/>
                <w:bCs/>
                <w:sz w:val="28"/>
              </w:rPr>
              <w:t>55.1.1</w:t>
            </w:r>
          </w:p>
        </w:tc>
        <w:tc>
          <w:tcPr>
            <w:tcW w:w="3600" w:type="dxa"/>
            <w:vMerge/>
            <w:vAlign w:val="center"/>
          </w:tcPr>
          <w:p w:rsidR="00BB0D3B" w:rsidRPr="00795674" w:rsidRDefault="00BB0D3B" w:rsidP="00F156F4">
            <w:pPr>
              <w:rPr>
                <w:rFonts w:ascii="Bookman Old Style" w:hAnsi="Bookman Old Style"/>
              </w:rPr>
            </w:pPr>
          </w:p>
        </w:tc>
      </w:tr>
      <w:tr w:rsidR="00BB0D3B" w:rsidTr="00F156F4">
        <w:trPr>
          <w:cantSplit/>
          <w:trHeight w:val="1234"/>
          <w:jc w:val="center"/>
        </w:trPr>
        <w:tc>
          <w:tcPr>
            <w:tcW w:w="5181" w:type="dxa"/>
            <w:vMerge/>
            <w:vAlign w:val="center"/>
          </w:tcPr>
          <w:p w:rsidR="00BB0D3B" w:rsidRDefault="00BB0D3B" w:rsidP="00F156F4">
            <w:pPr>
              <w:pStyle w:val="BodyText"/>
              <w:jc w:val="center"/>
            </w:pPr>
          </w:p>
        </w:tc>
        <w:tc>
          <w:tcPr>
            <w:tcW w:w="3600" w:type="dxa"/>
            <w:tcBorders>
              <w:bottom w:val="single" w:sz="4" w:space="0" w:color="auto"/>
            </w:tcBorders>
            <w:vAlign w:val="center"/>
          </w:tcPr>
          <w:p w:rsidR="00BB0D3B" w:rsidRDefault="00BB0D3B" w:rsidP="00F156F4">
            <w:pPr>
              <w:pStyle w:val="BodyText"/>
            </w:pPr>
            <w:r>
              <w:t>REVIEW</w:t>
            </w:r>
          </w:p>
          <w:p w:rsidR="00BB0D3B" w:rsidRPr="00DD54B7" w:rsidRDefault="00BB0D3B" w:rsidP="00BB0D3B">
            <w:pPr>
              <w:pStyle w:val="BodyText"/>
              <w:rPr>
                <w:u w:val="single"/>
              </w:rPr>
            </w:pPr>
            <w:r>
              <w:t xml:space="preserve">DATE: </w:t>
            </w:r>
            <w:r w:rsidR="00980C17">
              <w:t>1/3</w:t>
            </w:r>
            <w:r w:rsidR="0006456C">
              <w:t>/</w:t>
            </w:r>
            <w:r w:rsidR="001924DB">
              <w:t>2021</w:t>
            </w:r>
          </w:p>
        </w:tc>
      </w:tr>
    </w:tbl>
    <w:p w:rsidR="008A60D5" w:rsidRDefault="008A60D5" w:rsidP="008A60D5"/>
    <w:p w:rsidR="008A60D5" w:rsidRDefault="009A0A58" w:rsidP="007D40E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672898">
        <w:rPr>
          <w:b/>
        </w:rPr>
        <w:t xml:space="preserve"> </w:t>
      </w:r>
    </w:p>
    <w:p w:rsidR="008A60D5" w:rsidRDefault="008A60D5" w:rsidP="008A60D5">
      <w:pPr>
        <w:rPr>
          <w:b/>
        </w:rPr>
      </w:pPr>
    </w:p>
    <w:p w:rsidR="00F21BD9" w:rsidRPr="00795674" w:rsidRDefault="003E1530" w:rsidP="00F21BD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Bookman Old Style" w:hAnsi="Bookman Old Style"/>
        </w:rPr>
      </w:pPr>
      <w:r w:rsidRPr="00795674">
        <w:rPr>
          <w:rFonts w:ascii="Bookman Old Style" w:hAnsi="Bookman Old Style"/>
        </w:rPr>
        <w:t>Massachusetts General Laws Chapter 258B sets forth the Victim Witness Bill of Rights.</w:t>
      </w:r>
      <w:r w:rsidR="00F21BD9" w:rsidRPr="00795674">
        <w:rPr>
          <w:rFonts w:ascii="Bookman Old Style" w:hAnsi="Bookman Old Style"/>
        </w:rPr>
        <w:t xml:space="preserve">  </w:t>
      </w:r>
      <w:r w:rsidR="00EB2468" w:rsidRPr="00795674">
        <w:rPr>
          <w:rFonts w:ascii="Bookman Old Style" w:hAnsi="Bookman Old Style"/>
        </w:rPr>
        <w:t>This Bill of Rights is consistent with our</w:t>
      </w:r>
      <w:r w:rsidR="00F21BD9" w:rsidRPr="00795674">
        <w:rPr>
          <w:rFonts w:ascii="Bookman Old Style" w:hAnsi="Bookman Old Style"/>
        </w:rPr>
        <w:t xml:space="preserve"> Department Mission</w:t>
      </w:r>
      <w:r w:rsidR="00EB2468" w:rsidRPr="00795674">
        <w:rPr>
          <w:rFonts w:ascii="Bookman Old Style" w:hAnsi="Bookman Old Style"/>
        </w:rPr>
        <w:t xml:space="preserve">: Our duty is </w:t>
      </w:r>
      <w:r w:rsidR="00F21BD9" w:rsidRPr="00795674">
        <w:rPr>
          <w:rFonts w:ascii="Bookman Old Style" w:hAnsi="Bookman Old Style"/>
        </w:rPr>
        <w:t>to serve our community by providing a safe environment in which to live, learn and grow. We train, dedicate and commit ourselves to performing this mission in a manner that inspires confidence and respects the rights and needs of all.</w:t>
      </w:r>
    </w:p>
    <w:p w:rsidR="00EB2468" w:rsidRPr="00795674" w:rsidRDefault="00EB2468" w:rsidP="008A60D5">
      <w:pPr>
        <w:rPr>
          <w:rFonts w:ascii="Bookman Old Style" w:hAnsi="Bookman Old Style"/>
        </w:rPr>
      </w:pPr>
      <w:r w:rsidRPr="00795674">
        <w:rPr>
          <w:rFonts w:ascii="Bookman Old Style" w:hAnsi="Bookman Old Style"/>
        </w:rPr>
        <w:t>Therefore, i</w:t>
      </w:r>
      <w:r w:rsidR="003E1530" w:rsidRPr="00795674">
        <w:rPr>
          <w:rFonts w:ascii="Bookman Old Style" w:hAnsi="Bookman Old Style"/>
        </w:rPr>
        <w:t xml:space="preserve">t is the policy of </w:t>
      </w:r>
      <w:r w:rsidR="00080762">
        <w:rPr>
          <w:rFonts w:ascii="Bookman Old Style" w:hAnsi="Bookman Old Style"/>
        </w:rPr>
        <w:t>the Great Barrington</w:t>
      </w:r>
      <w:r w:rsidRPr="00795674">
        <w:rPr>
          <w:rFonts w:ascii="Bookman Old Style" w:hAnsi="Bookman Old Style"/>
        </w:rPr>
        <w:t xml:space="preserve"> Police Department to abide by the provisions of M</w:t>
      </w:r>
      <w:r w:rsidR="009A0A58" w:rsidRPr="00795674">
        <w:rPr>
          <w:rFonts w:ascii="Bookman Old Style" w:hAnsi="Bookman Old Style"/>
        </w:rPr>
        <w:t>GL</w:t>
      </w:r>
      <w:r w:rsidRPr="00795674">
        <w:rPr>
          <w:rFonts w:ascii="Bookman Old Style" w:hAnsi="Bookman Old Style"/>
        </w:rPr>
        <w:t xml:space="preserve"> Ch. 258B</w:t>
      </w:r>
      <w:r w:rsidR="00141B81" w:rsidRPr="00795674">
        <w:rPr>
          <w:rFonts w:ascii="Bookman Old Style" w:hAnsi="Bookman Old Style"/>
        </w:rPr>
        <w:t xml:space="preserve">. </w:t>
      </w:r>
      <w:r w:rsidRPr="00795674">
        <w:rPr>
          <w:rFonts w:ascii="Bookman Old Style" w:hAnsi="Bookman Old Style"/>
        </w:rPr>
        <w:t xml:space="preserve"> </w:t>
      </w:r>
      <w:r w:rsidR="00417950" w:rsidRPr="00795674">
        <w:rPr>
          <w:rFonts w:ascii="Bookman Old Style" w:hAnsi="Bookman Old Style"/>
        </w:rPr>
        <w:br/>
      </w:r>
      <w:r w:rsidR="00417950" w:rsidRPr="00795674">
        <w:rPr>
          <w:rFonts w:ascii="Bookman Old Style" w:hAnsi="Bookman Old Style"/>
        </w:rPr>
        <w:br/>
      </w:r>
      <w:r w:rsidRPr="00795674">
        <w:rPr>
          <w:rFonts w:ascii="Bookman Old Style" w:hAnsi="Bookman Old Style"/>
        </w:rPr>
        <w:t xml:space="preserve">Although </w:t>
      </w:r>
      <w:r w:rsidR="00141B81" w:rsidRPr="00795674">
        <w:rPr>
          <w:rFonts w:ascii="Bookman Old Style" w:hAnsi="Bookman Old Style"/>
        </w:rPr>
        <w:t xml:space="preserve">many </w:t>
      </w:r>
      <w:r w:rsidRPr="00795674">
        <w:rPr>
          <w:rFonts w:ascii="Bookman Old Style" w:hAnsi="Bookman Old Style"/>
        </w:rPr>
        <w:t>portions apply</w:t>
      </w:r>
      <w:r w:rsidR="00141B81" w:rsidRPr="00795674">
        <w:rPr>
          <w:rFonts w:ascii="Bookman Old Style" w:hAnsi="Bookman Old Style"/>
        </w:rPr>
        <w:t xml:space="preserve"> primarily </w:t>
      </w:r>
      <w:r w:rsidRPr="00795674">
        <w:rPr>
          <w:rFonts w:ascii="Bookman Old Style" w:hAnsi="Bookman Old Style"/>
        </w:rPr>
        <w:t>to other components of the State gov</w:t>
      </w:r>
      <w:r w:rsidR="00417950" w:rsidRPr="00795674">
        <w:rPr>
          <w:rFonts w:ascii="Bookman Old Style" w:hAnsi="Bookman Old Style"/>
        </w:rPr>
        <w:t xml:space="preserve">ernment and the judicial system; and we would typically refer them to the District Attorney’s Victim-Witness Assistance staff; </w:t>
      </w:r>
      <w:r w:rsidRPr="00795674">
        <w:rPr>
          <w:rFonts w:ascii="Bookman Old Style" w:hAnsi="Bookman Old Style"/>
        </w:rPr>
        <w:t xml:space="preserve">it is </w:t>
      </w:r>
      <w:r w:rsidR="00417950" w:rsidRPr="00795674">
        <w:rPr>
          <w:rFonts w:ascii="Bookman Old Style" w:hAnsi="Bookman Old Style"/>
        </w:rPr>
        <w:t xml:space="preserve">still </w:t>
      </w:r>
      <w:r w:rsidRPr="00795674">
        <w:rPr>
          <w:rFonts w:ascii="Bookman Old Style" w:hAnsi="Bookman Old Style"/>
        </w:rPr>
        <w:t xml:space="preserve">important for </w:t>
      </w:r>
      <w:r w:rsidR="00141B81" w:rsidRPr="00795674">
        <w:rPr>
          <w:rFonts w:ascii="Bookman Old Style" w:hAnsi="Bookman Old Style"/>
        </w:rPr>
        <w:t>o</w:t>
      </w:r>
      <w:r w:rsidRPr="00795674">
        <w:rPr>
          <w:rFonts w:ascii="Bookman Old Style" w:hAnsi="Bookman Old Style"/>
        </w:rPr>
        <w:t xml:space="preserve">ur personnel to be aware of </w:t>
      </w:r>
      <w:r w:rsidR="00141B81" w:rsidRPr="00795674">
        <w:rPr>
          <w:rFonts w:ascii="Bookman Old Style" w:hAnsi="Bookman Old Style"/>
        </w:rPr>
        <w:t>all</w:t>
      </w:r>
      <w:r w:rsidRPr="00795674">
        <w:rPr>
          <w:rFonts w:ascii="Bookman Old Style" w:hAnsi="Bookman Old Style"/>
        </w:rPr>
        <w:t xml:space="preserve"> provisions, so </w:t>
      </w:r>
      <w:r w:rsidR="00417950" w:rsidRPr="00795674">
        <w:rPr>
          <w:rFonts w:ascii="Bookman Old Style" w:hAnsi="Bookman Old Style"/>
        </w:rPr>
        <w:t xml:space="preserve">that </w:t>
      </w:r>
      <w:r w:rsidRPr="00795674">
        <w:rPr>
          <w:rFonts w:ascii="Bookman Old Style" w:hAnsi="Bookman Old Style"/>
        </w:rPr>
        <w:t xml:space="preserve">they may assist </w:t>
      </w:r>
      <w:r w:rsidR="00141B81" w:rsidRPr="00795674">
        <w:rPr>
          <w:rFonts w:ascii="Bookman Old Style" w:hAnsi="Bookman Old Style"/>
        </w:rPr>
        <w:t xml:space="preserve">crime </w:t>
      </w:r>
      <w:r w:rsidRPr="00795674">
        <w:rPr>
          <w:rFonts w:ascii="Bookman Old Style" w:hAnsi="Bookman Old Style"/>
        </w:rPr>
        <w:t>victims</w:t>
      </w:r>
      <w:r w:rsidR="00141B81" w:rsidRPr="00795674">
        <w:rPr>
          <w:rFonts w:ascii="Bookman Old Style" w:hAnsi="Bookman Old Style"/>
        </w:rPr>
        <w:t xml:space="preserve">, </w:t>
      </w:r>
      <w:r w:rsidRPr="00795674">
        <w:rPr>
          <w:rFonts w:ascii="Bookman Old Style" w:hAnsi="Bookman Old Style"/>
        </w:rPr>
        <w:t xml:space="preserve">witnesses </w:t>
      </w:r>
      <w:r w:rsidR="00141B81" w:rsidRPr="00795674">
        <w:rPr>
          <w:rFonts w:ascii="Bookman Old Style" w:hAnsi="Bookman Old Style"/>
        </w:rPr>
        <w:t xml:space="preserve">and their family members </w:t>
      </w:r>
      <w:r w:rsidRPr="00795674">
        <w:rPr>
          <w:rFonts w:ascii="Bookman Old Style" w:hAnsi="Bookman Old Style"/>
        </w:rPr>
        <w:t>in obtaining their rights and services under this statute.</w:t>
      </w:r>
    </w:p>
    <w:p w:rsidR="00EB2468" w:rsidRPr="00795674" w:rsidRDefault="00EB2468" w:rsidP="00FF4BE3">
      <w:pPr>
        <w:rPr>
          <w:rFonts w:ascii="Bookman Old Style" w:hAnsi="Bookman Old Style"/>
          <w:b/>
          <w:bCs/>
        </w:rPr>
      </w:pPr>
    </w:p>
    <w:p w:rsidR="002161A6" w:rsidRPr="00795674" w:rsidRDefault="00980C17" w:rsidP="00980C17">
      <w:pPr>
        <w:spacing w:before="100" w:beforeAutospacing="1" w:after="100" w:afterAutospacing="1"/>
        <w:ind w:left="-432"/>
        <w:rPr>
          <w:rFonts w:ascii="Bookman Old Style" w:hAnsi="Bookman Old Style"/>
          <w:b/>
          <w:bCs/>
        </w:rPr>
      </w:pPr>
      <w:r w:rsidRPr="00980C17">
        <w:rPr>
          <w:rFonts w:ascii="Bookman Old Style" w:hAnsi="Bookman Old Style"/>
          <w:b/>
        </w:rPr>
        <w:t>A.</w:t>
      </w:r>
      <w:r w:rsidR="00FF4BE3" w:rsidRPr="00795674">
        <w:rPr>
          <w:rFonts w:ascii="Bookman Old Style" w:hAnsi="Bookman Old Style"/>
        </w:rPr>
        <w:t xml:space="preserve"> </w:t>
      </w:r>
      <w:r w:rsidR="002161A6" w:rsidRPr="00795674">
        <w:rPr>
          <w:rFonts w:ascii="Bookman Old Style" w:hAnsi="Bookman Old Style"/>
          <w:b/>
          <w:bCs/>
        </w:rPr>
        <w:t>CHAPTER 258B</w:t>
      </w:r>
      <w:r w:rsidR="00D85489" w:rsidRPr="00795674">
        <w:rPr>
          <w:rFonts w:ascii="Bookman Old Style" w:hAnsi="Bookman Old Style"/>
          <w:b/>
          <w:bCs/>
        </w:rPr>
        <w:t xml:space="preserve"> </w:t>
      </w:r>
      <w:r w:rsidR="00484235" w:rsidRPr="00795674">
        <w:rPr>
          <w:rFonts w:ascii="Bookman Old Style" w:hAnsi="Bookman Old Style"/>
          <w:b/>
          <w:bCs/>
        </w:rPr>
        <w:t>§</w:t>
      </w:r>
      <w:r w:rsidR="00D85489" w:rsidRPr="00795674">
        <w:rPr>
          <w:rFonts w:ascii="Bookman Old Style" w:hAnsi="Bookman Old Style"/>
          <w:b/>
          <w:bCs/>
        </w:rPr>
        <w:t xml:space="preserve"> 3: </w:t>
      </w:r>
      <w:r w:rsidR="002161A6" w:rsidRPr="00795674">
        <w:rPr>
          <w:rFonts w:ascii="Bookman Old Style" w:hAnsi="Bookman Old Style"/>
          <w:b/>
          <w:bCs/>
        </w:rPr>
        <w:t xml:space="preserve"> RIGHTS OF VICTIMS AND WITNESSES OF CRIME </w:t>
      </w:r>
    </w:p>
    <w:p w:rsidR="00D85489" w:rsidRPr="00795674" w:rsidRDefault="00D85489" w:rsidP="00980C17">
      <w:pPr>
        <w:ind w:left="-432"/>
        <w:rPr>
          <w:rFonts w:ascii="Bookman Old Style" w:hAnsi="Bookman Old Style"/>
        </w:rPr>
      </w:pPr>
      <w:r w:rsidRPr="00795674">
        <w:rPr>
          <w:rFonts w:ascii="Bookman Old Style" w:hAnsi="Bookman Old Style"/>
        </w:rPr>
        <w:t xml:space="preserve">The following section contains </w:t>
      </w:r>
      <w:r w:rsidR="00FF4BE3" w:rsidRPr="00795674">
        <w:rPr>
          <w:rFonts w:ascii="Bookman Old Style" w:hAnsi="Bookman Old Style"/>
        </w:rPr>
        <w:t xml:space="preserve">a summary </w:t>
      </w:r>
      <w:r w:rsidRPr="00795674">
        <w:rPr>
          <w:rFonts w:ascii="Bookman Old Style" w:hAnsi="Bookman Old Style"/>
        </w:rPr>
        <w:t xml:space="preserve">of MGL C 258B </w:t>
      </w:r>
      <w:r w:rsidR="00484235" w:rsidRPr="00795674">
        <w:rPr>
          <w:rFonts w:ascii="Bookman Old Style" w:hAnsi="Bookman Old Style"/>
        </w:rPr>
        <w:t xml:space="preserve">§ </w:t>
      </w:r>
      <w:r w:rsidRPr="00795674">
        <w:rPr>
          <w:rFonts w:ascii="Bookman Old Style" w:hAnsi="Bookman Old Style"/>
        </w:rPr>
        <w:t>3, subtitled</w:t>
      </w:r>
    </w:p>
    <w:p w:rsidR="002161A6" w:rsidRPr="00980C17" w:rsidRDefault="002161A6" w:rsidP="00980C17">
      <w:pPr>
        <w:ind w:left="-432"/>
        <w:rPr>
          <w:rFonts w:ascii="Bookman Old Style" w:hAnsi="Bookman Old Style"/>
          <w:b/>
          <w:bCs/>
        </w:rPr>
      </w:pPr>
      <w:r w:rsidRPr="00795674">
        <w:rPr>
          <w:rFonts w:ascii="Bookman Old Style" w:hAnsi="Bookman Old Style"/>
          <w:b/>
          <w:bCs/>
        </w:rPr>
        <w:t>Rights afforded victims, witnesses or family members</w:t>
      </w:r>
      <w:r w:rsidR="00D85489" w:rsidRPr="00795674">
        <w:rPr>
          <w:rFonts w:ascii="Bookman Old Style" w:hAnsi="Bookman Old Style"/>
          <w:b/>
          <w:bCs/>
        </w:rPr>
        <w:t xml:space="preserve">.  </w:t>
      </w:r>
      <w:r w:rsidR="00D85489" w:rsidRPr="00795674">
        <w:rPr>
          <w:rFonts w:ascii="Bookman Old Style" w:hAnsi="Bookman Old Style"/>
          <w:bCs/>
        </w:rPr>
        <w:t xml:space="preserve">The full </w:t>
      </w:r>
      <w:r w:rsidR="007D40E2" w:rsidRPr="00795674">
        <w:rPr>
          <w:rFonts w:ascii="Bookman Old Style" w:hAnsi="Bookman Old Style"/>
          <w:bCs/>
        </w:rPr>
        <w:t>text</w:t>
      </w:r>
      <w:r w:rsidR="00D85489" w:rsidRPr="00795674">
        <w:rPr>
          <w:rFonts w:ascii="Bookman Old Style" w:hAnsi="Bookman Old Style"/>
          <w:bCs/>
        </w:rPr>
        <w:t xml:space="preserve"> is available online at </w:t>
      </w:r>
      <w:r w:rsidR="00D85489" w:rsidRPr="00795674">
        <w:rPr>
          <w:rFonts w:ascii="Bookman Old Style" w:hAnsi="Bookman Old Style"/>
        </w:rPr>
        <w:t xml:space="preserve">Online:  </w:t>
      </w:r>
      <w:hyperlink r:id="rId9" w:history="1">
        <w:r w:rsidR="00D85489" w:rsidRPr="00795674">
          <w:rPr>
            <w:rStyle w:val="Hyperlink"/>
            <w:rFonts w:ascii="Bookman Old Style" w:hAnsi="Bookman Old Style"/>
          </w:rPr>
          <w:t>http://www.mass.gov/legis/laws/mgl/258b-3.htm</w:t>
        </w:r>
      </w:hyperlink>
      <w:r w:rsidRPr="00795674">
        <w:rPr>
          <w:rFonts w:ascii="Bookman Old Style" w:hAnsi="Bookman Old Style"/>
          <w:b/>
          <w:bCs/>
        </w:rPr>
        <w:t xml:space="preserve"> </w:t>
      </w:r>
      <w:r w:rsidR="00980C17">
        <w:rPr>
          <w:rFonts w:ascii="Bookman Old Style" w:hAnsi="Bookman Old Style"/>
          <w:b/>
          <w:bCs/>
        </w:rPr>
        <w:br/>
      </w:r>
      <w:r w:rsidR="00FF4BE3" w:rsidRPr="00795674">
        <w:rPr>
          <w:rFonts w:ascii="Bookman Old Style" w:hAnsi="Bookman Old Style"/>
          <w:bCs/>
        </w:rPr>
        <w:t>[Brackets are used to note excerpted section, or offer commentary.]</w:t>
      </w:r>
    </w:p>
    <w:p w:rsidR="00980C17" w:rsidRPr="00862443" w:rsidRDefault="002161A6" w:rsidP="00862443">
      <w:pPr>
        <w:numPr>
          <w:ilvl w:val="0"/>
          <w:numId w:val="6"/>
        </w:numPr>
        <w:spacing w:before="100" w:beforeAutospacing="1" w:after="100" w:afterAutospacing="1"/>
        <w:ind w:left="216"/>
        <w:rPr>
          <w:rFonts w:ascii="Bookman Old Style" w:hAnsi="Bookman Old Style"/>
        </w:rPr>
      </w:pPr>
      <w:r w:rsidRPr="00795674">
        <w:rPr>
          <w:rFonts w:ascii="Bookman Old Style" w:hAnsi="Bookman Old Style"/>
        </w:rPr>
        <w:t xml:space="preserve">To provide victims a meaningful role in the criminal justice system, victims and witnesses of crime, or in the event the victim is deceased, the family members of the victim, shall be afforded the following basic and fundamental </w:t>
      </w:r>
      <w:r w:rsidRPr="00795674">
        <w:rPr>
          <w:rFonts w:ascii="Bookman Old Style" w:hAnsi="Bookman Old Style"/>
        </w:rPr>
        <w:lastRenderedPageBreak/>
        <w:t xml:space="preserve">rights, to the greatest extent possible and subject to appropriation and to available resources, with priority for services to be provided to victims of crimes against the person and crimes where physical injury to a person results: </w:t>
      </w:r>
      <w:r w:rsidR="00141B81" w:rsidRPr="00795674">
        <w:rPr>
          <w:rFonts w:ascii="Bookman Old Style" w:hAnsi="Bookman Old Style"/>
        </w:rPr>
        <w:br/>
      </w:r>
      <w:r w:rsidR="00862443">
        <w:rPr>
          <w:rFonts w:ascii="Bookman Old Style" w:hAnsi="Bookman Old Style"/>
        </w:rPr>
        <w:br/>
      </w:r>
      <w:r w:rsidRPr="00862443">
        <w:rPr>
          <w:rFonts w:ascii="Bookman Old Style" w:hAnsi="Bookman Old Style"/>
        </w:rPr>
        <w:t xml:space="preserve">(a) for victims, to be informed by the prosecutor about the victim’s rights in the criminal process, including but not limited to the rights provided under this chapter. At the beginning of the criminal justice process, the prosecutor shall provide an explanation to the victim of how a case progresses through the criminal justice system, what the victim’s role is in the process, what the system may expect from the victim, why the system requires this, and, if the victim requests, the prosecutor shall periodically apprise the victim of significant developments in the case; </w:t>
      </w:r>
      <w:r w:rsidR="00141B81" w:rsidRPr="00862443">
        <w:rPr>
          <w:rFonts w:ascii="Bookman Old Style" w:hAnsi="Bookman Old Style"/>
        </w:rPr>
        <w:br/>
      </w:r>
      <w:r w:rsidR="00980C17" w:rsidRPr="00862443">
        <w:rPr>
          <w:rFonts w:ascii="Bookman Old Style" w:hAnsi="Bookman Old Style"/>
        </w:rPr>
        <w:br/>
      </w:r>
      <w:r w:rsidRPr="00862443">
        <w:rPr>
          <w:rFonts w:ascii="Bookman Old Style" w:hAnsi="Bookman Old Style"/>
        </w:rPr>
        <w:t>(b) for victims and family members, to be present at all court proceedings related to the offense committed against the victim</w:t>
      </w:r>
      <w:r w:rsidR="00FF4BE3" w:rsidRPr="00862443">
        <w:rPr>
          <w:rFonts w:ascii="Bookman Old Style" w:hAnsi="Bookman Old Style"/>
        </w:rPr>
        <w:t xml:space="preserve"> [with legal exceptions noted]</w:t>
      </w:r>
      <w:r w:rsidR="002D3118" w:rsidRPr="00862443">
        <w:rPr>
          <w:rFonts w:ascii="Bookman Old Style" w:hAnsi="Bookman Old Style"/>
        </w:rPr>
        <w:t>;</w:t>
      </w:r>
      <w:r w:rsidR="00FF4BE3" w:rsidRPr="00862443">
        <w:rPr>
          <w:rFonts w:ascii="Bookman Old Style" w:hAnsi="Bookman Old Style"/>
        </w:rPr>
        <w:t xml:space="preserve"> </w:t>
      </w:r>
      <w:r w:rsidRPr="00862443">
        <w:rPr>
          <w:rFonts w:ascii="Bookman Old Style" w:hAnsi="Bookman Old Style"/>
        </w:rPr>
        <w:t xml:space="preserve"> </w:t>
      </w:r>
    </w:p>
    <w:p w:rsidR="00D85489" w:rsidRPr="00980C17" w:rsidRDefault="00980C17" w:rsidP="00862443">
      <w:pPr>
        <w:ind w:left="288"/>
        <w:rPr>
          <w:rFonts w:ascii="Bookman Old Style" w:hAnsi="Bookman Old Style"/>
        </w:rPr>
      </w:pPr>
      <w:r>
        <w:rPr>
          <w:rFonts w:ascii="Bookman Old Style" w:hAnsi="Bookman Old Style"/>
        </w:rPr>
        <w:t>(</w:t>
      </w:r>
      <w:r w:rsidR="002161A6" w:rsidRPr="00980C17">
        <w:rPr>
          <w:rFonts w:ascii="Bookman Old Style" w:hAnsi="Bookman Old Style"/>
        </w:rPr>
        <w:t xml:space="preserve">c) </w:t>
      </w:r>
      <w:r w:rsidR="00D85489" w:rsidRPr="00980C17">
        <w:rPr>
          <w:rFonts w:ascii="Bookman Old Style" w:hAnsi="Bookman Old Style"/>
        </w:rPr>
        <w:t xml:space="preserve">[excerpt] </w:t>
      </w:r>
      <w:r w:rsidR="002161A6" w:rsidRPr="00980C17">
        <w:rPr>
          <w:rFonts w:ascii="Bookman Old Style" w:hAnsi="Bookman Old Style"/>
        </w:rPr>
        <w:t>for victims and witnesses, to be notified by the prosecutor</w:t>
      </w:r>
      <w:r w:rsidR="00D85489" w:rsidRPr="00980C17">
        <w:rPr>
          <w:rFonts w:ascii="Bookman Old Style" w:hAnsi="Bookman Old Style"/>
        </w:rPr>
        <w:t>…</w:t>
      </w:r>
      <w:r w:rsidR="002161A6" w:rsidRPr="00980C17">
        <w:rPr>
          <w:rFonts w:ascii="Bookman Old Style" w:hAnsi="Bookman Old Style"/>
        </w:rPr>
        <w:t xml:space="preserve"> when a court proceeding to which they </w:t>
      </w:r>
      <w:r w:rsidR="00D85489" w:rsidRPr="00980C17">
        <w:rPr>
          <w:rFonts w:ascii="Bookman Old Style" w:hAnsi="Bookman Old Style"/>
        </w:rPr>
        <w:t xml:space="preserve">[were] </w:t>
      </w:r>
      <w:r w:rsidR="002161A6" w:rsidRPr="00980C17">
        <w:rPr>
          <w:rFonts w:ascii="Bookman Old Style" w:hAnsi="Bookman Old Style"/>
        </w:rPr>
        <w:t>summoned will not go on as scheduled</w:t>
      </w:r>
      <w:r w:rsidR="00D85489" w:rsidRPr="00980C17">
        <w:rPr>
          <w:rFonts w:ascii="Bookman Old Style" w:hAnsi="Bookman Old Style"/>
        </w:rPr>
        <w:t>…</w:t>
      </w:r>
      <w:r w:rsidR="002D3118" w:rsidRPr="00980C17">
        <w:rPr>
          <w:rFonts w:ascii="Bookman Old Style" w:hAnsi="Bookman Old Style"/>
        </w:rPr>
        <w:t>;</w:t>
      </w:r>
      <w:r w:rsidR="00D85489" w:rsidRPr="00980C17">
        <w:rPr>
          <w:rFonts w:ascii="Bookman Old Style" w:hAnsi="Bookman Old Style"/>
        </w:rPr>
        <w:br/>
      </w:r>
    </w:p>
    <w:p w:rsidR="002161A6" w:rsidRPr="00795674" w:rsidRDefault="002161A6" w:rsidP="00862443">
      <w:pPr>
        <w:ind w:left="288"/>
        <w:rPr>
          <w:rFonts w:ascii="Bookman Old Style" w:hAnsi="Bookman Old Style"/>
        </w:rPr>
      </w:pPr>
      <w:r w:rsidRPr="00795674">
        <w:rPr>
          <w:rFonts w:ascii="Bookman Old Style" w:hAnsi="Bookman Old Style"/>
        </w:rPr>
        <w:t xml:space="preserve">(d) for victims and witnesses, to be provided with information by the prosecutor as to the level of protection available and to receive protection from the local law enforcement agencies from harm and threats of harm arising out of their cooperation with law enforcement and prosecution efforts; </w:t>
      </w:r>
    </w:p>
    <w:p w:rsidR="002161A6" w:rsidRPr="00795674" w:rsidRDefault="002161A6" w:rsidP="00862443">
      <w:pPr>
        <w:spacing w:before="100" w:beforeAutospacing="1"/>
        <w:ind w:left="288"/>
        <w:rPr>
          <w:rFonts w:ascii="Bookman Old Style" w:hAnsi="Bookman Old Style"/>
        </w:rPr>
      </w:pPr>
      <w:r w:rsidRPr="00795674">
        <w:rPr>
          <w:rFonts w:ascii="Bookman Old Style" w:hAnsi="Bookman Old Style"/>
        </w:rPr>
        <w:t>(e) for victims, to be informed by the prosecutor of financial assistance and other social services available to victims, including</w:t>
      </w:r>
      <w:r w:rsidR="00FF4BE3" w:rsidRPr="00795674">
        <w:rPr>
          <w:rFonts w:ascii="Bookman Old Style" w:hAnsi="Bookman Old Style"/>
        </w:rPr>
        <w:t>…</w:t>
      </w:r>
      <w:r w:rsidRPr="00795674">
        <w:rPr>
          <w:rFonts w:ascii="Bookman Old Style" w:hAnsi="Bookman Old Style"/>
        </w:rPr>
        <w:t xml:space="preserve"> </w:t>
      </w:r>
      <w:r w:rsidR="00FF4BE3" w:rsidRPr="00795674">
        <w:rPr>
          <w:rFonts w:ascii="Bookman Old Style" w:hAnsi="Bookman Old Style"/>
        </w:rPr>
        <w:t>[how to apply for them]</w:t>
      </w:r>
      <w:r w:rsidR="002D3118" w:rsidRPr="00795674">
        <w:rPr>
          <w:rFonts w:ascii="Bookman Old Style" w:hAnsi="Bookman Old Style"/>
        </w:rPr>
        <w:t>;</w:t>
      </w:r>
      <w:r w:rsidRPr="00795674">
        <w:rPr>
          <w:rFonts w:ascii="Bookman Old Style" w:hAnsi="Bookman Old Style"/>
        </w:rPr>
        <w:t xml:space="preserve"> </w:t>
      </w:r>
    </w:p>
    <w:p w:rsidR="00E74627"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(f) for victims and witnesses, to a prompt disposition of the case in which they are involved as a victim or a witness;</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(g) for victims, to confer with the prosecutor before the commencement of the trial, before any hearing on motions</w:t>
      </w:r>
      <w:r w:rsidR="00FF4BE3" w:rsidRPr="00795674">
        <w:rPr>
          <w:rFonts w:ascii="Bookman Old Style" w:hAnsi="Bookman Old Style"/>
        </w:rPr>
        <w:t>…[</w:t>
      </w:r>
      <w:r w:rsidR="00E74627" w:rsidRPr="00795674">
        <w:rPr>
          <w:rFonts w:ascii="Bookman Old Style" w:hAnsi="Bookman Old Style"/>
        </w:rPr>
        <w:t xml:space="preserve">also </w:t>
      </w:r>
      <w:r w:rsidR="00FF4BE3" w:rsidRPr="00795674">
        <w:rPr>
          <w:rFonts w:ascii="Bookman Old Style" w:hAnsi="Bookman Old Style"/>
        </w:rPr>
        <w:t xml:space="preserve">records requests, nolle prose, dropping </w:t>
      </w:r>
      <w:r w:rsidR="00E74627" w:rsidRPr="00795674">
        <w:rPr>
          <w:rFonts w:ascii="Bookman Old Style" w:hAnsi="Bookman Old Style"/>
        </w:rPr>
        <w:t xml:space="preserve">of any </w:t>
      </w:r>
      <w:r w:rsidR="00FF4BE3" w:rsidRPr="00795674">
        <w:rPr>
          <w:rFonts w:ascii="Bookman Old Style" w:hAnsi="Bookman Old Style"/>
        </w:rPr>
        <w:t xml:space="preserve">charges, sentence recommendations, etc]… </w:t>
      </w:r>
      <w:r w:rsidRPr="00795674">
        <w:rPr>
          <w:rFonts w:ascii="Bookman Old Style" w:hAnsi="Bookman Old Style"/>
        </w:rPr>
        <w:t>The prosecutor shall inform the court of the victim’s position, if known, regarding the prosecutor’s sentence recommendation</w:t>
      </w:r>
      <w:r w:rsidR="00FF4BE3" w:rsidRPr="00795674">
        <w:rPr>
          <w:rFonts w:ascii="Bookman Old Style" w:hAnsi="Bookman Old Style"/>
        </w:rPr>
        <w:t>… [ with exceptions noted]</w:t>
      </w:r>
      <w:r w:rsidR="002D3118" w:rsidRPr="00795674">
        <w:rPr>
          <w:rFonts w:ascii="Bookman Old Style" w:hAnsi="Bookman Old Style"/>
        </w:rPr>
        <w:t>;</w:t>
      </w:r>
      <w:r w:rsidRPr="00795674">
        <w:rPr>
          <w:rFonts w:ascii="Bookman Old Style" w:hAnsi="Bookman Old Style"/>
        </w:rPr>
        <w:t xml:space="preserve">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(h) for victims and witnesses, to be informed of the right to request confidentiality </w:t>
      </w:r>
      <w:r w:rsidR="00980C17">
        <w:rPr>
          <w:rFonts w:ascii="Bookman Old Style" w:hAnsi="Bookman Old Style"/>
        </w:rPr>
        <w:t xml:space="preserve">in the criminal justice system. </w:t>
      </w:r>
      <w:r w:rsidRPr="00795674">
        <w:rPr>
          <w:rFonts w:ascii="Bookman Old Style" w:hAnsi="Bookman Old Style"/>
        </w:rPr>
        <w:t>Upon the court’s approval of such request, no law enforcem</w:t>
      </w:r>
      <w:r w:rsidR="00980C17">
        <w:rPr>
          <w:rFonts w:ascii="Bookman Old Style" w:hAnsi="Bookman Old Style"/>
        </w:rPr>
        <w:t>ent agency, prosecutor, defense counsel</w:t>
      </w:r>
      <w:r w:rsidR="002D3118" w:rsidRPr="00795674">
        <w:rPr>
          <w:rFonts w:ascii="Bookman Old Style" w:hAnsi="Bookman Old Style"/>
        </w:rPr>
        <w:t>,</w:t>
      </w:r>
      <w:r w:rsidR="00980C17">
        <w:rPr>
          <w:rFonts w:ascii="Bookman Old Style" w:hAnsi="Bookman Old Style"/>
        </w:rPr>
        <w:t xml:space="preserve"> </w:t>
      </w:r>
      <w:r w:rsidR="00AC6FF1" w:rsidRPr="00795674">
        <w:rPr>
          <w:rFonts w:ascii="Bookman Old Style" w:hAnsi="Bookman Old Style"/>
        </w:rPr>
        <w:t>etc</w:t>
      </w:r>
      <w:r w:rsidR="002D3118" w:rsidRPr="00795674">
        <w:rPr>
          <w:rFonts w:ascii="Bookman Old Style" w:hAnsi="Bookman Old Style"/>
        </w:rPr>
        <w:t>.</w:t>
      </w:r>
      <w:r w:rsidR="00980C17">
        <w:rPr>
          <w:rFonts w:ascii="Bookman Old Style" w:hAnsi="Bookman Old Style"/>
        </w:rPr>
        <w:t xml:space="preserve"> may violate. [I</w:t>
      </w:r>
      <w:r w:rsidR="00AC6FF1" w:rsidRPr="00795674">
        <w:rPr>
          <w:rFonts w:ascii="Bookman Old Style" w:hAnsi="Bookman Old Style"/>
        </w:rPr>
        <w:t xml:space="preserve">f there is an order, we must abide by </w:t>
      </w:r>
      <w:r w:rsidR="00980C17">
        <w:rPr>
          <w:rFonts w:ascii="Bookman Old Style" w:hAnsi="Bookman Old Style"/>
        </w:rPr>
        <w:t>it</w:t>
      </w:r>
      <w:r w:rsidR="00AC6FF1" w:rsidRPr="00795674">
        <w:rPr>
          <w:rFonts w:ascii="Bookman Old Style" w:hAnsi="Bookman Old Style"/>
        </w:rPr>
        <w:t>]</w:t>
      </w:r>
      <w:r w:rsidRPr="00795674">
        <w:rPr>
          <w:rFonts w:ascii="Bookman Old Style" w:hAnsi="Bookman Old Style"/>
        </w:rPr>
        <w:t xml:space="preserve">; </w:t>
      </w:r>
      <w:r w:rsidR="00141B81" w:rsidRPr="00795674">
        <w:rPr>
          <w:rFonts w:ascii="Bookman Old Style" w:hAnsi="Bookman Old Style"/>
        </w:rPr>
        <w:br/>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(i) for victims, family members and witnesses, to be provided</w:t>
      </w:r>
      <w:r w:rsidR="00AC6FF1" w:rsidRPr="00795674">
        <w:rPr>
          <w:rFonts w:ascii="Bookman Old Style" w:hAnsi="Bookman Old Style"/>
        </w:rPr>
        <w:t xml:space="preserve">  … </w:t>
      </w:r>
      <w:r w:rsidRPr="00795674">
        <w:rPr>
          <w:rFonts w:ascii="Bookman Old Style" w:hAnsi="Bookman Old Style"/>
        </w:rPr>
        <w:t xml:space="preserve"> with a secure waiting area or room which is separate from the waiting area of the </w:t>
      </w:r>
      <w:r w:rsidRPr="00795674">
        <w:rPr>
          <w:rFonts w:ascii="Bookman Old Style" w:hAnsi="Bookman Old Style"/>
        </w:rPr>
        <w:lastRenderedPageBreak/>
        <w:t xml:space="preserve">defendant or the defendant’s family, friends, attorneys or witnesses, during court proceedings. The court shall, </w:t>
      </w:r>
      <w:r w:rsidR="00417950" w:rsidRPr="00795674">
        <w:rPr>
          <w:rFonts w:ascii="Bookman Old Style" w:hAnsi="Bookman Old Style"/>
        </w:rPr>
        <w:t>…  [designate safe areas and safeguards to accomplish this]</w:t>
      </w:r>
      <w:r w:rsidRPr="00795674">
        <w:rPr>
          <w:rFonts w:ascii="Bookman Old Style" w:hAnsi="Bookman Old Style"/>
        </w:rPr>
        <w:t xml:space="preserve">;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(j) for victims and witnesses, to be informed by the court and the prosecutor of procedures to be followed in order to apply for and receive any witness fee to which they are entitled;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(k) for victims and witnesses, to be provided, where appropriate, with employer and creditor intercession services by the prosecutor to seek employer cooperation in minimizing employees’ loss of pay and other benefits resulting from their participation in the criminal justice process, and to seek consideration from creditors if the victim is unable, temporarily, to continue payments;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(l) for victims or witnesses who have received a subpoena to testify, to be free from discharge or penalty or threat of discharge or penalty by his employer by reason of his attendance as a witness at a criminal proceeding. A victim or witness who </w:t>
      </w:r>
      <w:r w:rsidR="00AC6FF1" w:rsidRPr="00795674">
        <w:rPr>
          <w:rFonts w:ascii="Bookman Old Style" w:hAnsi="Bookman Old Style"/>
        </w:rPr>
        <w:t>… [ tells his employer why he/she has to miss work, cannot face repercussions… since we may be the ones they tell of a problem with their employer, we must be ready to take appropriate steps to advise the court …]</w:t>
      </w:r>
      <w:r w:rsidRPr="00795674">
        <w:rPr>
          <w:rFonts w:ascii="Bookman Old Style" w:hAnsi="Bookman Old Style"/>
        </w:rPr>
        <w:t xml:space="preserve">;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(m) for victims and witnesses, to be informed of the right to submit to or decline an interview by defense counsel or anyone acting on the defendant’s behalf, except when responding to lawful process, and, if the victim or witness decides to submit to an interview, the right to impose reasonable conditions on the conduct of the interview;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(n) for victims, to confer with the probation officer prior to the filing of the full presentence report. If the victim is not available or declines to confer, the probation officer</w:t>
      </w:r>
      <w:r w:rsidR="00417950" w:rsidRPr="00795674">
        <w:rPr>
          <w:rFonts w:ascii="Bookman Old Style" w:hAnsi="Bookman Old Style"/>
        </w:rPr>
        <w:t>… [shall document their attempts and actions]</w:t>
      </w:r>
      <w:r w:rsidRPr="00795674">
        <w:rPr>
          <w:rFonts w:ascii="Bookman Old Style" w:hAnsi="Bookman Old Style"/>
        </w:rPr>
        <w:t xml:space="preserve">; </w:t>
      </w:r>
    </w:p>
    <w:p w:rsidR="001C6C15"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(o) for victims, to request that restitution be an element of the final disposition of a case and to obtain assistance from the prosecutor in the documentation of the victim’s losses. If restitution is ordered as part of a case disposition, the victim</w:t>
      </w:r>
      <w:r w:rsidR="00417950" w:rsidRPr="00795674">
        <w:rPr>
          <w:rFonts w:ascii="Bookman Old Style" w:hAnsi="Bookman Old Style"/>
        </w:rPr>
        <w:t xml:space="preserve">… </w:t>
      </w:r>
      <w:r w:rsidR="00A1315A">
        <w:rPr>
          <w:rFonts w:ascii="Bookman Old Style" w:hAnsi="Bookman Old Style"/>
        </w:rPr>
        <w:br/>
      </w:r>
      <w:r w:rsidR="00417950" w:rsidRPr="00795674">
        <w:rPr>
          <w:rFonts w:ascii="Bookman Old Style" w:hAnsi="Bookman Old Style"/>
        </w:rPr>
        <w:t>[has access to appropriate info, and to be heard regarding modifications</w:t>
      </w:r>
      <w:r w:rsidR="00A1315A">
        <w:rPr>
          <w:rFonts w:ascii="Bookman Old Style" w:hAnsi="Bookman Old Style"/>
        </w:rPr>
        <w:t>];</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(p) for victims, to be heard through an oral and written victim impact statement at sentencing or the disposition of the case against the defendant about the effects of the crime on the victim and as to a recommended sentence, </w:t>
      </w:r>
      <w:r w:rsidR="00AC6FF1" w:rsidRPr="00795674">
        <w:rPr>
          <w:rFonts w:ascii="Bookman Old Style" w:hAnsi="Bookman Old Style"/>
        </w:rPr>
        <w:t xml:space="preserve">… </w:t>
      </w:r>
      <w:r w:rsidRPr="00795674">
        <w:rPr>
          <w:rFonts w:ascii="Bookman Old Style" w:hAnsi="Bookman Old Style"/>
        </w:rPr>
        <w:t>The victim also has a right to submit the victim impact statement to the parole board</w:t>
      </w:r>
      <w:r w:rsidR="00AC6FF1" w:rsidRPr="00795674">
        <w:rPr>
          <w:rFonts w:ascii="Bookman Old Style" w:hAnsi="Bookman Old Style"/>
        </w:rPr>
        <w:t xml:space="preserve">… </w:t>
      </w:r>
      <w:r w:rsidRPr="00795674">
        <w:rPr>
          <w:rFonts w:ascii="Bookman Old Style" w:hAnsi="Bookman Old Style"/>
        </w:rPr>
        <w:t xml:space="preserve">; </w:t>
      </w:r>
      <w:r w:rsidR="00141B81" w:rsidRPr="00795674">
        <w:rPr>
          <w:rFonts w:ascii="Bookman Old Style" w:hAnsi="Bookman Old Style"/>
        </w:rPr>
        <w:br/>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(q) for victims, to be informed by the prosecutor of the final disposition of the case, including, where applicable, an explanation of the type of sentence </w:t>
      </w:r>
      <w:r w:rsidRPr="00795674">
        <w:rPr>
          <w:rFonts w:ascii="Bookman Old Style" w:hAnsi="Bookman Old Style"/>
        </w:rPr>
        <w:lastRenderedPageBreak/>
        <w:t xml:space="preserve">imposed by the court and a copy of the court order setting forth the conditions of probation or other supervised or unsupervised release within thirty days of establishing the conditions, with the name and telephone number of the probation officer, if any, assigned to the defendant;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(r) for victims, to have any personal property that was stolen or taken for evidentiary purposes, except contraband, property subject to evidentiary analysis, and property the ownership of which is disputed, returned by the court, the prosecutor or law enforcement agencies within ten days of its taking or recovery if it is not needed for law enforcement or prosecution purposes or as expeditiously as possible when said property is no longer needed for law enforcement or prosecution purposes;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(s) for victims, to be informed by the parole board of information regarding the defendant’s parole eligibility and status in the criminal justice system;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(t) for victims, to be informed in advance by the appropriate custodial authority whenever the defendant receives a temporary, provisional or final release from custody, </w:t>
      </w:r>
      <w:r w:rsidR="001C6C15" w:rsidRPr="00795674">
        <w:rPr>
          <w:rFonts w:ascii="Bookman Old Style" w:hAnsi="Bookman Old Style"/>
        </w:rPr>
        <w:t>…</w:t>
      </w:r>
      <w:r w:rsidRPr="00795674">
        <w:rPr>
          <w:rFonts w:ascii="Bookman Old Style" w:hAnsi="Bookman Old Style"/>
        </w:rPr>
        <w:t xml:space="preserve">moved from a secure facility to a less-secure facility, </w:t>
      </w:r>
      <w:r w:rsidR="001C6C15" w:rsidRPr="00795674">
        <w:rPr>
          <w:rFonts w:ascii="Bookman Old Style" w:hAnsi="Bookman Old Style"/>
        </w:rPr>
        <w:t>… or</w:t>
      </w:r>
      <w:r w:rsidRPr="00795674">
        <w:rPr>
          <w:rFonts w:ascii="Bookman Old Style" w:hAnsi="Bookman Old Style"/>
        </w:rPr>
        <w:t xml:space="preserve"> escapes from custody. The victim shall be informed by the prosecutor </w:t>
      </w:r>
      <w:r w:rsidR="001C6C15" w:rsidRPr="00795674">
        <w:rPr>
          <w:rFonts w:ascii="Bookman Old Style" w:hAnsi="Bookman Old Style"/>
        </w:rPr>
        <w:t xml:space="preserve">… [how to] </w:t>
      </w:r>
      <w:r w:rsidRPr="00795674">
        <w:rPr>
          <w:rFonts w:ascii="Bookman Old Style" w:hAnsi="Bookman Old Style"/>
        </w:rPr>
        <w:t>access the criminal offender record information files.</w:t>
      </w:r>
      <w:r w:rsidR="001C6C15" w:rsidRPr="00795674">
        <w:rPr>
          <w:rFonts w:ascii="Bookman Old Style" w:hAnsi="Bookman Old Style"/>
        </w:rPr>
        <w:t xml:space="preserve"> …[the victim] </w:t>
      </w:r>
      <w:r w:rsidRPr="00795674">
        <w:rPr>
          <w:rFonts w:ascii="Bookman Old Style" w:hAnsi="Bookman Old Style"/>
        </w:rPr>
        <w:t>must provide</w:t>
      </w:r>
      <w:r w:rsidR="001C6C15" w:rsidRPr="00795674">
        <w:rPr>
          <w:rFonts w:ascii="Bookman Old Style" w:hAnsi="Bookman Old Style"/>
        </w:rPr>
        <w:t>…</w:t>
      </w:r>
      <w:r w:rsidRPr="00795674">
        <w:rPr>
          <w:rFonts w:ascii="Bookman Old Style" w:hAnsi="Bookman Old Style"/>
        </w:rPr>
        <w:t>current</w:t>
      </w:r>
      <w:r w:rsidR="001C6C15" w:rsidRPr="00795674">
        <w:rPr>
          <w:rFonts w:ascii="Bookman Old Style" w:hAnsi="Bookman Old Style"/>
        </w:rPr>
        <w:t xml:space="preserve"> [contact]</w:t>
      </w:r>
      <w:r w:rsidRPr="00795674">
        <w:rPr>
          <w:rFonts w:ascii="Bookman Old Style" w:hAnsi="Bookman Old Style"/>
        </w:rPr>
        <w:t xml:space="preserve"> information;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 xml:space="preserve">(u) for victims, to be informed that the victim may have a right to pursue a civil action for damages relating to the crime, regardless of whether the court has ordered the defendant to make restitution to the victim. </w:t>
      </w:r>
    </w:p>
    <w:p w:rsidR="002161A6" w:rsidRPr="00795674" w:rsidRDefault="002161A6" w:rsidP="00862443">
      <w:pPr>
        <w:spacing w:before="100" w:beforeAutospacing="1" w:after="100" w:afterAutospacing="1"/>
        <w:ind w:left="288"/>
        <w:rPr>
          <w:rFonts w:ascii="Bookman Old Style" w:hAnsi="Bookman Old Style"/>
        </w:rPr>
      </w:pPr>
      <w:r w:rsidRPr="00795674">
        <w:rPr>
          <w:rFonts w:ascii="Bookman Old Style" w:hAnsi="Bookman Old Style"/>
        </w:rPr>
        <w:t>(v) for one family member of a victim of a homicide, which the matter before the court is related, to posses</w:t>
      </w:r>
      <w:r w:rsidR="00980C17">
        <w:rPr>
          <w:rFonts w:ascii="Bookman Old Style" w:hAnsi="Bookman Old Style"/>
        </w:rPr>
        <w:t xml:space="preserve">s in the courtroom a photograph </w:t>
      </w:r>
      <w:r w:rsidRPr="00795674">
        <w:rPr>
          <w:rFonts w:ascii="Bookman Old Style" w:hAnsi="Bookman Old Style"/>
        </w:rPr>
        <w:t>of the dece</w:t>
      </w:r>
      <w:r w:rsidR="00980C17">
        <w:rPr>
          <w:rFonts w:ascii="Bookman Old Style" w:hAnsi="Bookman Old Style"/>
        </w:rPr>
        <w:t>ased victim [</w:t>
      </w:r>
      <w:r w:rsidR="001C6C15" w:rsidRPr="00795674">
        <w:rPr>
          <w:rFonts w:ascii="Bookman Old Style" w:hAnsi="Bookman Old Style"/>
        </w:rPr>
        <w:t>with restrictions noted]</w:t>
      </w:r>
      <w:r w:rsidRPr="00795674">
        <w:rPr>
          <w:rFonts w:ascii="Bookman Old Style" w:hAnsi="Bookman Old Style"/>
        </w:rPr>
        <w:t xml:space="preserve">. </w:t>
      </w:r>
    </w:p>
    <w:p w:rsidR="008A60D5" w:rsidRPr="00795674" w:rsidRDefault="00743ED6" w:rsidP="00862443">
      <w:pPr>
        <w:shd w:val="clear" w:color="auto" w:fill="FFFFFF"/>
        <w:spacing w:before="200"/>
        <w:ind w:left="288"/>
        <w:rPr>
          <w:rFonts w:ascii="Bookman Old Style" w:hAnsi="Bookman Old Style"/>
        </w:rPr>
      </w:pPr>
      <w:r w:rsidRPr="00795674">
        <w:rPr>
          <w:rFonts w:ascii="Bookman Old Style" w:hAnsi="Bookman Old Style"/>
          <w:lang w:val="en"/>
        </w:rPr>
        <w:t xml:space="preserve">(w) Where the victim or witness is an employee of the department of youth services, no law enforcement agency, prosecutor, defense counsel or parole, probation or corrections official shall disclose or state the residential address, telephone number or place of employment or school of the victim, a victim's family member or a witness, except as otherwise ordered by the court. </w:t>
      </w:r>
      <w:r w:rsidR="00E43A1B" w:rsidRPr="00795674">
        <w:rPr>
          <w:rFonts w:ascii="Bookman Old Style" w:hAnsi="Bookman Old Style"/>
          <w:lang w:val="en"/>
        </w:rPr>
        <w:t>(effective July 2012)</w:t>
      </w:r>
    </w:p>
    <w:p w:rsidR="00980C17" w:rsidRDefault="00980C17" w:rsidP="00980C17"/>
    <w:p w:rsidR="001924DB" w:rsidRPr="001924DB" w:rsidRDefault="001924DB" w:rsidP="001924DB">
      <w:pPr>
        <w:rPr>
          <w:rFonts w:ascii="Bookman Old Style" w:hAnsi="Bookman Old Style"/>
          <w:noProof/>
        </w:rPr>
      </w:pPr>
      <w:r w:rsidRPr="001924DB">
        <w:rPr>
          <w:rFonts w:ascii="Bookman Old Style" w:hAnsi="Bookman Old Style"/>
          <w:noProof/>
        </w:rPr>
        <w:t>Issued by: Chief Paul E. Storti</w:t>
      </w:r>
    </w:p>
    <w:p w:rsidR="00743ED6" w:rsidRPr="001924DB" w:rsidRDefault="001924DB" w:rsidP="001924DB">
      <w:r w:rsidRPr="00416329">
        <w:rPr>
          <w:noProof/>
        </w:rPr>
        <w:drawing>
          <wp:inline distT="0" distB="0" distL="0" distR="0" wp14:anchorId="6CBC7358" wp14:editId="14A1DBD3">
            <wp:extent cx="3076575" cy="838200"/>
            <wp:effectExtent l="0" t="0" r="9525" b="0"/>
            <wp:docPr id="3" name="Picture 3"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bookmarkStart w:id="0" w:name="_GoBack"/>
      <w:bookmarkEnd w:id="0"/>
    </w:p>
    <w:p w:rsidR="002161A6" w:rsidRPr="00795674" w:rsidRDefault="002161A6" w:rsidP="00EC53FD">
      <w:pPr>
        <w:spacing w:before="100" w:beforeAutospacing="1" w:after="100" w:afterAutospacing="1"/>
        <w:rPr>
          <w:rFonts w:ascii="Bookman Old Style" w:hAnsi="Bookman Old Style"/>
        </w:rPr>
      </w:pPr>
      <w:r w:rsidRPr="00795674">
        <w:rPr>
          <w:rFonts w:ascii="Bookman Old Style" w:hAnsi="Bookman Old Style"/>
        </w:rPr>
        <w:t xml:space="preserve"> </w:t>
      </w:r>
    </w:p>
    <w:sectPr w:rsidR="002161A6" w:rsidRPr="00795674" w:rsidSect="002D3118">
      <w:headerReference w:type="default" r:id="rId11"/>
      <w:footerReference w:type="default" r:id="rId12"/>
      <w:footerReference w:type="first" r:id="rId13"/>
      <w:pgSz w:w="12240" w:h="15840" w:code="1"/>
      <w:pgMar w:top="990"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46" w:rsidRDefault="00D11246">
      <w:r>
        <w:separator/>
      </w:r>
    </w:p>
  </w:endnote>
  <w:endnote w:type="continuationSeparator" w:id="0">
    <w:p w:rsidR="00D11246" w:rsidRDefault="00D1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5A" w:rsidRPr="00A1315A" w:rsidRDefault="00A1315A" w:rsidP="00A1315A">
    <w:pPr>
      <w:pStyle w:val="Footer"/>
      <w:pBdr>
        <w:top w:val="single" w:sz="4" w:space="1" w:color="auto"/>
      </w:pBdr>
      <w:jc w:val="center"/>
      <w:rPr>
        <w:rFonts w:ascii="Bookman Old Style" w:hAnsi="Bookman Old Style"/>
      </w:rPr>
    </w:pPr>
    <w:r w:rsidRPr="00A1315A">
      <w:rPr>
        <w:rFonts w:ascii="Bookman Old Style" w:hAnsi="Bookman Old Style"/>
      </w:rPr>
      <w:t>Policy &amp; Procedure</w:t>
    </w:r>
  </w:p>
  <w:p w:rsidR="00BA65E4" w:rsidRPr="00743ED6" w:rsidRDefault="00BA65E4" w:rsidP="00873F90">
    <w:pPr>
      <w:pStyle w:val="Footer"/>
      <w:tabs>
        <w:tab w:val="clear" w:pos="8640"/>
        <w:tab w:val="right" w:pos="9360"/>
      </w:tabs>
      <w:rPr>
        <w:color w:val="FF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3" w:rsidRPr="00BA65E4" w:rsidRDefault="00BA65E4" w:rsidP="00BA65E4">
    <w:pPr>
      <w:pStyle w:val="Footer"/>
      <w:tabs>
        <w:tab w:val="clear" w:pos="8640"/>
        <w:tab w:val="right" w:pos="9360"/>
      </w:tabs>
      <w:jc w:val="center"/>
      <w:rPr>
        <w:rFonts w:ascii="Bookman Old Style" w:hAnsi="Bookman Old Style"/>
        <w:color w:val="FF0000"/>
        <w:sz w:val="20"/>
        <w:szCs w:val="20"/>
      </w:rPr>
    </w:pPr>
    <w:r w:rsidRPr="00BA65E4">
      <w:rPr>
        <w:rFonts w:ascii="Bookman Old Style" w:hAnsi="Bookman Old Style"/>
        <w:sz w:val="20"/>
        <w:szCs w:val="20"/>
      </w:rPr>
      <w:t>Policy &amp; Procedures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46" w:rsidRDefault="00D11246">
      <w:r>
        <w:separator/>
      </w:r>
    </w:p>
  </w:footnote>
  <w:footnote w:type="continuationSeparator" w:id="0">
    <w:p w:rsidR="00D11246" w:rsidRDefault="00D11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B9" w:rsidRPr="00651A1B" w:rsidRDefault="00D82FB9">
    <w:pPr>
      <w:pStyle w:val="Header"/>
      <w:jc w:val="right"/>
      <w:rPr>
        <w:rFonts w:ascii="Bookman Old Style" w:hAnsi="Bookman Old Style"/>
        <w:sz w:val="22"/>
        <w:szCs w:val="22"/>
      </w:rPr>
    </w:pPr>
  </w:p>
  <w:p w:rsidR="00A1315A" w:rsidRDefault="00A1315A" w:rsidP="00A1315A">
    <w:pPr>
      <w:pStyle w:val="Header"/>
      <w:pBdr>
        <w:bottom w:val="single" w:sz="4" w:space="1" w:color="auto"/>
      </w:pBdr>
      <w:tabs>
        <w:tab w:val="clear" w:pos="4320"/>
        <w:tab w:val="clear" w:pos="8640"/>
        <w:tab w:val="center" w:pos="4680"/>
        <w:tab w:val="right" w:pos="9360"/>
      </w:tabs>
    </w:pPr>
    <w:r>
      <w:tab/>
    </w:r>
    <w:r w:rsidRPr="00A1315A">
      <w:rPr>
        <w:rFonts w:ascii="Bookman Old Style" w:hAnsi="Bookman Old Style"/>
      </w:rPr>
      <w:t>Victim and Witness Rights</w:t>
    </w:r>
    <w:r>
      <w:t xml:space="preserve"> </w:t>
    </w:r>
    <w:r>
      <w:tab/>
      <w:t xml:space="preserve">   </w:t>
    </w:r>
    <w:r w:rsidRPr="00A1315A">
      <w:rPr>
        <w:rStyle w:val="PageNumber"/>
        <w:rFonts w:ascii="Bookman Old Style" w:hAnsi="Bookman Old Style"/>
      </w:rPr>
      <w:fldChar w:fldCharType="begin"/>
    </w:r>
    <w:r w:rsidRPr="00A1315A">
      <w:rPr>
        <w:rStyle w:val="PageNumber"/>
        <w:rFonts w:ascii="Bookman Old Style" w:hAnsi="Bookman Old Style"/>
      </w:rPr>
      <w:instrText xml:space="preserve"> PAGE </w:instrText>
    </w:r>
    <w:r w:rsidRPr="00A1315A">
      <w:rPr>
        <w:rStyle w:val="PageNumber"/>
        <w:rFonts w:ascii="Bookman Old Style" w:hAnsi="Bookman Old Style"/>
      </w:rPr>
      <w:fldChar w:fldCharType="separate"/>
    </w:r>
    <w:r w:rsidR="001924DB">
      <w:rPr>
        <w:rStyle w:val="PageNumber"/>
        <w:rFonts w:ascii="Bookman Old Style" w:hAnsi="Bookman Old Style"/>
        <w:noProof/>
      </w:rPr>
      <w:t>2</w:t>
    </w:r>
    <w:r w:rsidRPr="00A1315A">
      <w:rPr>
        <w:rStyle w:val="PageNumber"/>
        <w:rFonts w:ascii="Bookman Old Style" w:hAnsi="Bookman Old Style"/>
      </w:rPr>
      <w:fldChar w:fldCharType="end"/>
    </w:r>
  </w:p>
  <w:p w:rsidR="00092659" w:rsidRPr="00D85A72" w:rsidRDefault="00092659" w:rsidP="00BA65E4">
    <w:pPr>
      <w:pStyle w:val="Header"/>
      <w:tabs>
        <w:tab w:val="clear" w:pos="4320"/>
        <w:tab w:val="clear" w:pos="8640"/>
        <w:tab w:val="center" w:pos="4680"/>
        <w:tab w:val="right" w:pos="9360"/>
      </w:tabs>
      <w:rPr>
        <w:rFonts w:ascii="Bookman Old Style" w:hAnsi="Bookman Old Style"/>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93F"/>
    <w:multiLevelType w:val="hybridMultilevel"/>
    <w:tmpl w:val="3CEE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88D1B75"/>
    <w:multiLevelType w:val="hybridMultilevel"/>
    <w:tmpl w:val="017C321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D04FC"/>
    <w:multiLevelType w:val="hybridMultilevel"/>
    <w:tmpl w:val="086698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72CA8"/>
    <w:multiLevelType w:val="hybridMultilevel"/>
    <w:tmpl w:val="59663510"/>
    <w:lvl w:ilvl="0" w:tplc="32601E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67633"/>
    <w:multiLevelType w:val="hybridMultilevel"/>
    <w:tmpl w:val="CFF0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67380"/>
    <w:multiLevelType w:val="hybridMultilevel"/>
    <w:tmpl w:val="76562B72"/>
    <w:lvl w:ilvl="0" w:tplc="0409000F">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9"/>
    <w:rsid w:val="00000558"/>
    <w:rsid w:val="00000725"/>
    <w:rsid w:val="00004D13"/>
    <w:rsid w:val="00040930"/>
    <w:rsid w:val="0006456C"/>
    <w:rsid w:val="00080762"/>
    <w:rsid w:val="00090DA6"/>
    <w:rsid w:val="00092659"/>
    <w:rsid w:val="00141B81"/>
    <w:rsid w:val="00145DA0"/>
    <w:rsid w:val="001807E5"/>
    <w:rsid w:val="001924DB"/>
    <w:rsid w:val="001C6C15"/>
    <w:rsid w:val="001E26B8"/>
    <w:rsid w:val="002161A6"/>
    <w:rsid w:val="00237506"/>
    <w:rsid w:val="00241323"/>
    <w:rsid w:val="002D3118"/>
    <w:rsid w:val="00351EB8"/>
    <w:rsid w:val="00366632"/>
    <w:rsid w:val="00387F0F"/>
    <w:rsid w:val="003E1530"/>
    <w:rsid w:val="00417950"/>
    <w:rsid w:val="00432FE4"/>
    <w:rsid w:val="00482222"/>
    <w:rsid w:val="00484235"/>
    <w:rsid w:val="004D3D83"/>
    <w:rsid w:val="00592C5C"/>
    <w:rsid w:val="005B7640"/>
    <w:rsid w:val="005C0E69"/>
    <w:rsid w:val="005C0F67"/>
    <w:rsid w:val="005F021A"/>
    <w:rsid w:val="00632819"/>
    <w:rsid w:val="00651A1B"/>
    <w:rsid w:val="00656468"/>
    <w:rsid w:val="00672898"/>
    <w:rsid w:val="006C06EF"/>
    <w:rsid w:val="006C1942"/>
    <w:rsid w:val="006D290D"/>
    <w:rsid w:val="006E155E"/>
    <w:rsid w:val="006E5E32"/>
    <w:rsid w:val="00712769"/>
    <w:rsid w:val="0072164E"/>
    <w:rsid w:val="00743ED6"/>
    <w:rsid w:val="00744F4F"/>
    <w:rsid w:val="007814EC"/>
    <w:rsid w:val="00795674"/>
    <w:rsid w:val="007D28A1"/>
    <w:rsid w:val="007D40E2"/>
    <w:rsid w:val="00862443"/>
    <w:rsid w:val="00873F90"/>
    <w:rsid w:val="008751F2"/>
    <w:rsid w:val="008A60D5"/>
    <w:rsid w:val="008A6A9E"/>
    <w:rsid w:val="008B4564"/>
    <w:rsid w:val="008E664B"/>
    <w:rsid w:val="008F37CF"/>
    <w:rsid w:val="00951218"/>
    <w:rsid w:val="0096449C"/>
    <w:rsid w:val="00980C17"/>
    <w:rsid w:val="009A0A58"/>
    <w:rsid w:val="00A1315A"/>
    <w:rsid w:val="00A61BAC"/>
    <w:rsid w:val="00A63913"/>
    <w:rsid w:val="00A6670F"/>
    <w:rsid w:val="00A82310"/>
    <w:rsid w:val="00AA02EC"/>
    <w:rsid w:val="00AC6FF1"/>
    <w:rsid w:val="00B55FD4"/>
    <w:rsid w:val="00B666BB"/>
    <w:rsid w:val="00BA65E4"/>
    <w:rsid w:val="00BB0D3B"/>
    <w:rsid w:val="00BD5D8A"/>
    <w:rsid w:val="00C0789C"/>
    <w:rsid w:val="00C25934"/>
    <w:rsid w:val="00C37657"/>
    <w:rsid w:val="00C4676F"/>
    <w:rsid w:val="00CA7732"/>
    <w:rsid w:val="00CE16FC"/>
    <w:rsid w:val="00D11246"/>
    <w:rsid w:val="00D82FB9"/>
    <w:rsid w:val="00D85489"/>
    <w:rsid w:val="00D85A72"/>
    <w:rsid w:val="00DA6995"/>
    <w:rsid w:val="00DF16C3"/>
    <w:rsid w:val="00E43A1B"/>
    <w:rsid w:val="00E45C74"/>
    <w:rsid w:val="00E738A6"/>
    <w:rsid w:val="00E74627"/>
    <w:rsid w:val="00EB2468"/>
    <w:rsid w:val="00EC53FD"/>
    <w:rsid w:val="00ED2F5C"/>
    <w:rsid w:val="00F156F4"/>
    <w:rsid w:val="00F21BD9"/>
    <w:rsid w:val="00FA177C"/>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142F8B52"/>
  <w15:docId w15:val="{173432CA-7ECF-4960-BA42-1DA7B76F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EC"/>
    <w:rPr>
      <w:rFonts w:ascii="Arial" w:hAnsi="Arial" w:cs="Arial"/>
      <w:sz w:val="24"/>
      <w:szCs w:val="24"/>
    </w:rPr>
  </w:style>
  <w:style w:type="paragraph" w:styleId="Heading1">
    <w:name w:val="heading 1"/>
    <w:basedOn w:val="Normal"/>
    <w:next w:val="Normal"/>
    <w:qFormat/>
    <w:rsid w:val="00AA02EC"/>
    <w:pPr>
      <w:keepNext/>
      <w:tabs>
        <w:tab w:val="right" w:pos="540"/>
        <w:tab w:val="left" w:pos="720"/>
        <w:tab w:val="left" w:pos="1080"/>
        <w:tab w:val="left" w:pos="1440"/>
        <w:tab w:val="left" w:pos="1800"/>
        <w:tab w:val="left" w:pos="2160"/>
        <w:tab w:val="left" w:pos="2520"/>
        <w:tab w:val="left" w:pos="2880"/>
        <w:tab w:val="left" w:pos="3330"/>
        <w:tab w:val="left" w:pos="4050"/>
        <w:tab w:val="left" w:pos="4770"/>
        <w:tab w:val="left" w:pos="5490"/>
        <w:tab w:val="left" w:pos="6210"/>
        <w:tab w:val="left" w:pos="6930"/>
        <w:tab w:val="left" w:pos="7650"/>
        <w:tab w:val="left" w:pos="8370"/>
        <w:tab w:val="left" w:pos="9090"/>
      </w:tabs>
      <w:spacing w:line="214" w:lineRule="auto"/>
      <w:ind w:right="-13"/>
      <w:jc w:val="both"/>
      <w:outlineLvl w:val="0"/>
    </w:pPr>
    <w:rPr>
      <w:rFonts w:ascii="Tw Cen MT" w:hAnsi="Tw Cen MT" w:cs="Tw Cen MT"/>
      <w:b/>
      <w:bCs/>
    </w:rPr>
  </w:style>
  <w:style w:type="paragraph" w:styleId="Heading2">
    <w:name w:val="heading 2"/>
    <w:basedOn w:val="Normal"/>
    <w:next w:val="Normal"/>
    <w:qFormat/>
    <w:rsid w:val="00AA02EC"/>
    <w:pPr>
      <w:keepNext/>
      <w:ind w:left="1440"/>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AA02EC"/>
    <w:pPr>
      <w:overflowPunct w:val="0"/>
      <w:autoSpaceDE w:val="0"/>
      <w:autoSpaceDN w:val="0"/>
      <w:adjustRightInd w:val="0"/>
      <w:textAlignment w:val="baseline"/>
    </w:pPr>
  </w:style>
  <w:style w:type="paragraph" w:styleId="Header">
    <w:name w:val="header"/>
    <w:basedOn w:val="Normal"/>
    <w:link w:val="HeaderChar"/>
    <w:rsid w:val="00AA02EC"/>
    <w:pPr>
      <w:tabs>
        <w:tab w:val="center" w:pos="4320"/>
        <w:tab w:val="right" w:pos="8640"/>
      </w:tabs>
    </w:pPr>
  </w:style>
  <w:style w:type="paragraph" w:styleId="Footer">
    <w:name w:val="footer"/>
    <w:basedOn w:val="Normal"/>
    <w:rsid w:val="00AA02EC"/>
    <w:pPr>
      <w:tabs>
        <w:tab w:val="center" w:pos="4320"/>
        <w:tab w:val="right" w:pos="8640"/>
      </w:tabs>
    </w:pPr>
  </w:style>
  <w:style w:type="paragraph" w:styleId="BalloonText">
    <w:name w:val="Balloon Text"/>
    <w:basedOn w:val="Normal"/>
    <w:semiHidden/>
    <w:rsid w:val="00AA02EC"/>
    <w:rPr>
      <w:rFonts w:ascii="Tahoma" w:hAnsi="Tahoma" w:cs="Tahoma"/>
      <w:sz w:val="16"/>
      <w:szCs w:val="16"/>
    </w:rPr>
  </w:style>
  <w:style w:type="table" w:styleId="TableGrid">
    <w:name w:val="Table Grid"/>
    <w:basedOn w:val="TableNormal"/>
    <w:rsid w:val="00AA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0D5"/>
    <w:pPr>
      <w:ind w:left="720"/>
    </w:pPr>
  </w:style>
  <w:style w:type="paragraph" w:styleId="NormalWeb">
    <w:name w:val="Normal (Web)"/>
    <w:basedOn w:val="Normal"/>
    <w:uiPriority w:val="99"/>
    <w:unhideWhenUsed/>
    <w:rsid w:val="002161A6"/>
    <w:pPr>
      <w:spacing w:before="100" w:beforeAutospacing="1" w:after="100" w:afterAutospacing="1"/>
    </w:pPr>
    <w:rPr>
      <w:rFonts w:ascii="Times New Roman" w:hAnsi="Times New Roman" w:cs="Times New Roman"/>
    </w:rPr>
  </w:style>
  <w:style w:type="character" w:styleId="Hyperlink">
    <w:name w:val="Hyperlink"/>
    <w:rsid w:val="00D85489"/>
    <w:rPr>
      <w:color w:val="0000FF"/>
      <w:u w:val="single"/>
    </w:rPr>
  </w:style>
  <w:style w:type="character" w:styleId="FollowedHyperlink">
    <w:name w:val="FollowedHyperlink"/>
    <w:rsid w:val="009A0A58"/>
    <w:rPr>
      <w:color w:val="800080"/>
      <w:u w:val="single"/>
    </w:rPr>
  </w:style>
  <w:style w:type="paragraph" w:styleId="BodyText">
    <w:name w:val="Body Text"/>
    <w:basedOn w:val="Normal"/>
    <w:link w:val="BodyTextChar"/>
    <w:rsid w:val="00BB0D3B"/>
    <w:pPr>
      <w:spacing w:after="120"/>
    </w:pPr>
    <w:rPr>
      <w:rFonts w:ascii="Bookman Old Style" w:hAnsi="Bookman Old Style" w:cs="Times New Roman"/>
      <w:sz w:val="28"/>
      <w:szCs w:val="20"/>
    </w:rPr>
  </w:style>
  <w:style w:type="character" w:customStyle="1" w:styleId="BodyTextChar">
    <w:name w:val="Body Text Char"/>
    <w:link w:val="BodyText"/>
    <w:rsid w:val="00BB0D3B"/>
    <w:rPr>
      <w:rFonts w:ascii="Bookman Old Style" w:hAnsi="Bookman Old Style"/>
      <w:sz w:val="28"/>
    </w:rPr>
  </w:style>
  <w:style w:type="character" w:customStyle="1" w:styleId="HeaderChar">
    <w:name w:val="Header Char"/>
    <w:link w:val="Header"/>
    <w:uiPriority w:val="99"/>
    <w:rsid w:val="00BA65E4"/>
    <w:rPr>
      <w:rFonts w:ascii="Arial" w:hAnsi="Arial" w:cs="Arial"/>
      <w:sz w:val="24"/>
      <w:szCs w:val="24"/>
    </w:rPr>
  </w:style>
  <w:style w:type="character" w:styleId="PageNumber">
    <w:name w:val="page number"/>
    <w:basedOn w:val="DefaultParagraphFont"/>
    <w:rsid w:val="00A1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371">
      <w:bodyDiv w:val="1"/>
      <w:marLeft w:val="0"/>
      <w:marRight w:val="0"/>
      <w:marTop w:val="0"/>
      <w:marBottom w:val="0"/>
      <w:divBdr>
        <w:top w:val="none" w:sz="0" w:space="0" w:color="auto"/>
        <w:left w:val="none" w:sz="0" w:space="0" w:color="auto"/>
        <w:bottom w:val="none" w:sz="0" w:space="0" w:color="auto"/>
        <w:right w:val="none" w:sz="0" w:space="0" w:color="auto"/>
      </w:divBdr>
      <w:divsChild>
        <w:div w:id="2070498483">
          <w:marLeft w:val="0"/>
          <w:marRight w:val="0"/>
          <w:marTop w:val="0"/>
          <w:marBottom w:val="0"/>
          <w:divBdr>
            <w:top w:val="none" w:sz="0" w:space="0" w:color="auto"/>
            <w:left w:val="none" w:sz="0" w:space="0" w:color="auto"/>
            <w:bottom w:val="none" w:sz="0" w:space="0" w:color="auto"/>
            <w:right w:val="none" w:sz="0" w:space="0" w:color="auto"/>
          </w:divBdr>
          <w:divsChild>
            <w:div w:id="1058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4879">
      <w:bodyDiv w:val="1"/>
      <w:marLeft w:val="0"/>
      <w:marRight w:val="0"/>
      <w:marTop w:val="0"/>
      <w:marBottom w:val="0"/>
      <w:divBdr>
        <w:top w:val="none" w:sz="0" w:space="0" w:color="auto"/>
        <w:left w:val="none" w:sz="0" w:space="0" w:color="auto"/>
        <w:bottom w:val="none" w:sz="0" w:space="0" w:color="auto"/>
        <w:right w:val="none" w:sz="0" w:space="0" w:color="auto"/>
      </w:divBdr>
      <w:divsChild>
        <w:div w:id="1502698938">
          <w:marLeft w:val="0"/>
          <w:marRight w:val="0"/>
          <w:marTop w:val="0"/>
          <w:marBottom w:val="0"/>
          <w:divBdr>
            <w:top w:val="none" w:sz="0" w:space="0" w:color="auto"/>
            <w:left w:val="none" w:sz="0" w:space="0" w:color="auto"/>
            <w:bottom w:val="none" w:sz="0" w:space="0" w:color="auto"/>
            <w:right w:val="none" w:sz="0" w:space="0" w:color="auto"/>
          </w:divBdr>
          <w:divsChild>
            <w:div w:id="10162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2496">
      <w:bodyDiv w:val="1"/>
      <w:marLeft w:val="0"/>
      <w:marRight w:val="0"/>
      <w:marTop w:val="0"/>
      <w:marBottom w:val="0"/>
      <w:divBdr>
        <w:top w:val="none" w:sz="0" w:space="0" w:color="auto"/>
        <w:left w:val="none" w:sz="0" w:space="0" w:color="auto"/>
        <w:bottom w:val="none" w:sz="0" w:space="0" w:color="auto"/>
        <w:right w:val="none" w:sz="0" w:space="0" w:color="auto"/>
      </w:divBdr>
      <w:divsChild>
        <w:div w:id="844320205">
          <w:marLeft w:val="0"/>
          <w:marRight w:val="0"/>
          <w:marTop w:val="0"/>
          <w:marBottom w:val="0"/>
          <w:divBdr>
            <w:top w:val="none" w:sz="0" w:space="0" w:color="auto"/>
            <w:left w:val="none" w:sz="0" w:space="0" w:color="auto"/>
            <w:bottom w:val="none" w:sz="0" w:space="0" w:color="auto"/>
            <w:right w:val="none" w:sz="0" w:space="0" w:color="auto"/>
          </w:divBdr>
          <w:divsChild>
            <w:div w:id="1307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081">
      <w:bodyDiv w:val="1"/>
      <w:marLeft w:val="0"/>
      <w:marRight w:val="0"/>
      <w:marTop w:val="0"/>
      <w:marBottom w:val="0"/>
      <w:divBdr>
        <w:top w:val="none" w:sz="0" w:space="0" w:color="auto"/>
        <w:left w:val="none" w:sz="0" w:space="0" w:color="auto"/>
        <w:bottom w:val="none" w:sz="0" w:space="0" w:color="auto"/>
        <w:right w:val="none" w:sz="0" w:space="0" w:color="auto"/>
      </w:divBdr>
      <w:divsChild>
        <w:div w:id="2081558551">
          <w:marLeft w:val="0"/>
          <w:marRight w:val="0"/>
          <w:marTop w:val="150"/>
          <w:marBottom w:val="0"/>
          <w:divBdr>
            <w:top w:val="single" w:sz="12" w:space="0" w:color="CBAE60"/>
            <w:left w:val="single" w:sz="12" w:space="0" w:color="CBAE60"/>
            <w:bottom w:val="single" w:sz="4" w:space="0" w:color="CBAE60"/>
            <w:right w:val="single" w:sz="12" w:space="0" w:color="CBAE60"/>
          </w:divBdr>
          <w:divsChild>
            <w:div w:id="1637950486">
              <w:marLeft w:val="0"/>
              <w:marRight w:val="0"/>
              <w:marTop w:val="0"/>
              <w:marBottom w:val="0"/>
              <w:divBdr>
                <w:top w:val="none" w:sz="0" w:space="0" w:color="auto"/>
                <w:left w:val="none" w:sz="0" w:space="0" w:color="auto"/>
                <w:bottom w:val="none" w:sz="0" w:space="0" w:color="auto"/>
                <w:right w:val="none" w:sz="0" w:space="0" w:color="auto"/>
              </w:divBdr>
              <w:divsChild>
                <w:div w:id="681123341">
                  <w:marLeft w:val="0"/>
                  <w:marRight w:val="0"/>
                  <w:marTop w:val="0"/>
                  <w:marBottom w:val="0"/>
                  <w:divBdr>
                    <w:top w:val="none" w:sz="0" w:space="0" w:color="auto"/>
                    <w:left w:val="none" w:sz="0" w:space="0" w:color="auto"/>
                    <w:bottom w:val="none" w:sz="0" w:space="0" w:color="auto"/>
                    <w:right w:val="none" w:sz="0" w:space="0" w:color="auto"/>
                  </w:divBdr>
                  <w:divsChild>
                    <w:div w:id="1624002510">
                      <w:marLeft w:val="0"/>
                      <w:marRight w:val="0"/>
                      <w:marTop w:val="0"/>
                      <w:marBottom w:val="0"/>
                      <w:divBdr>
                        <w:top w:val="none" w:sz="0" w:space="0" w:color="auto"/>
                        <w:left w:val="none" w:sz="0" w:space="0" w:color="auto"/>
                        <w:bottom w:val="none" w:sz="0" w:space="0" w:color="auto"/>
                        <w:right w:val="none" w:sz="0" w:space="0" w:color="auto"/>
                      </w:divBdr>
                      <w:divsChild>
                        <w:div w:id="1036084340">
                          <w:marLeft w:val="0"/>
                          <w:marRight w:val="0"/>
                          <w:marTop w:val="0"/>
                          <w:marBottom w:val="0"/>
                          <w:divBdr>
                            <w:top w:val="none" w:sz="0" w:space="0" w:color="auto"/>
                            <w:left w:val="none" w:sz="0" w:space="0" w:color="auto"/>
                            <w:bottom w:val="none" w:sz="0" w:space="0" w:color="auto"/>
                            <w:right w:val="none" w:sz="0" w:space="0" w:color="auto"/>
                          </w:divBdr>
                          <w:divsChild>
                            <w:div w:id="286938390">
                              <w:marLeft w:val="0"/>
                              <w:marRight w:val="0"/>
                              <w:marTop w:val="0"/>
                              <w:marBottom w:val="0"/>
                              <w:divBdr>
                                <w:top w:val="none" w:sz="0" w:space="0" w:color="auto"/>
                                <w:left w:val="none" w:sz="0" w:space="0" w:color="auto"/>
                                <w:bottom w:val="none" w:sz="0" w:space="0" w:color="auto"/>
                                <w:right w:val="none" w:sz="0" w:space="0" w:color="auto"/>
                              </w:divBdr>
                              <w:divsChild>
                                <w:div w:id="1716081010">
                                  <w:marLeft w:val="0"/>
                                  <w:marRight w:val="0"/>
                                  <w:marTop w:val="0"/>
                                  <w:marBottom w:val="0"/>
                                  <w:divBdr>
                                    <w:top w:val="none" w:sz="0" w:space="0" w:color="auto"/>
                                    <w:left w:val="none" w:sz="0" w:space="0" w:color="auto"/>
                                    <w:bottom w:val="none" w:sz="0" w:space="0" w:color="auto"/>
                                    <w:right w:val="none" w:sz="0" w:space="0" w:color="auto"/>
                                  </w:divBdr>
                                  <w:divsChild>
                                    <w:div w:id="1519656474">
                                      <w:marLeft w:val="0"/>
                                      <w:marRight w:val="0"/>
                                      <w:marTop w:val="0"/>
                                      <w:marBottom w:val="0"/>
                                      <w:divBdr>
                                        <w:top w:val="none" w:sz="0" w:space="0" w:color="auto"/>
                                        <w:left w:val="none" w:sz="0" w:space="0" w:color="auto"/>
                                        <w:bottom w:val="none" w:sz="0" w:space="0" w:color="auto"/>
                                        <w:right w:val="none" w:sz="0" w:space="0" w:color="auto"/>
                                      </w:divBdr>
                                      <w:divsChild>
                                        <w:div w:id="916475692">
                                          <w:marLeft w:val="0"/>
                                          <w:marRight w:val="0"/>
                                          <w:marTop w:val="0"/>
                                          <w:marBottom w:val="200"/>
                                          <w:divBdr>
                                            <w:top w:val="none" w:sz="0" w:space="0" w:color="auto"/>
                                            <w:left w:val="none" w:sz="0" w:space="0" w:color="auto"/>
                                            <w:bottom w:val="none" w:sz="0" w:space="0" w:color="auto"/>
                                            <w:right w:val="none" w:sz="0" w:space="0" w:color="auto"/>
                                          </w:divBdr>
                                          <w:divsChild>
                                            <w:div w:id="18288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ass.gov/legis/laws/mgl/258b-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A8CDA-744D-49EE-9080-EFDF2EA0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Victim and Witness Rights</vt:lpstr>
    </vt:vector>
  </TitlesOfParts>
  <Company>UMPD</Company>
  <LinksUpToDate>false</LinksUpToDate>
  <CharactersWithSpaces>9138</CharactersWithSpaces>
  <SharedDoc>false</SharedDoc>
  <HLinks>
    <vt:vector size="6" baseType="variant">
      <vt:variant>
        <vt:i4>1441883</vt:i4>
      </vt:variant>
      <vt:variant>
        <vt:i4>0</vt:i4>
      </vt:variant>
      <vt:variant>
        <vt:i4>0</vt:i4>
      </vt:variant>
      <vt:variant>
        <vt:i4>5</vt:i4>
      </vt:variant>
      <vt:variant>
        <vt:lpwstr>http://www.mass.gov/legis/laws/mgl/258b-3.htm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and Witness Rights</dc:title>
  <dc:creator>Paul</dc:creator>
  <cp:lastModifiedBy>Becker, Cara</cp:lastModifiedBy>
  <cp:revision>2</cp:revision>
  <cp:lastPrinted>2018-06-05T21:16:00Z</cp:lastPrinted>
  <dcterms:created xsi:type="dcterms:W3CDTF">2021-09-23T16:29:00Z</dcterms:created>
  <dcterms:modified xsi:type="dcterms:W3CDTF">2021-09-23T16:29:00Z</dcterms:modified>
</cp:coreProperties>
</file>