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6A" w:rsidRDefault="001D1FCE" w:rsidP="0058206A">
      <w:pPr>
        <w:pStyle w:val="Title"/>
      </w:pPr>
      <w:r>
        <w:t>DEPARTMENT iDENTIFICATION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0D34D3">
        <w:trPr>
          <w:cantSplit/>
          <w:trHeight w:val="1232"/>
          <w:jc w:val="center"/>
        </w:trPr>
        <w:tc>
          <w:tcPr>
            <w:tcW w:w="5181" w:type="dxa"/>
            <w:vMerge w:val="restart"/>
            <w:tcBorders>
              <w:bottom w:val="nil"/>
            </w:tcBorders>
            <w:vAlign w:val="center"/>
          </w:tcPr>
          <w:p w:rsidR="000D34D3" w:rsidRDefault="000D34D3">
            <w:pPr>
              <w:pStyle w:val="BodyText"/>
              <w:jc w:val="center"/>
              <w:rPr>
                <w:sz w:val="32"/>
              </w:rPr>
            </w:pPr>
            <w:r>
              <w:rPr>
                <w:sz w:val="32"/>
              </w:rPr>
              <w:t xml:space="preserve"> GREAT </w:t>
            </w:r>
            <w:smartTag w:uri="urn:schemas-microsoft-com:office:smarttags" w:element="place">
              <w:smartTag w:uri="urn:schemas-microsoft-com:office:smarttags" w:element="address">
                <w:r>
                  <w:rPr>
                    <w:sz w:val="32"/>
                  </w:rPr>
                  <w:t>BARRINGTON</w:t>
                </w:r>
              </w:smartTag>
            </w:smartTag>
          </w:p>
          <w:p w:rsidR="000D34D3" w:rsidRDefault="000D34D3">
            <w:pPr>
              <w:pStyle w:val="BodyText"/>
              <w:jc w:val="center"/>
              <w:rPr>
                <w:sz w:val="32"/>
              </w:rPr>
            </w:pPr>
            <w:r>
              <w:rPr>
                <w:sz w:val="32"/>
              </w:rPr>
              <w:t>POLICE DEPARTMENT                                            POLICY &amp; PROCEDURE NO.</w:t>
            </w:r>
          </w:p>
          <w:p w:rsidR="000D34D3" w:rsidRDefault="000D34D3">
            <w:pPr>
              <w:pStyle w:val="BodyText"/>
              <w:jc w:val="center"/>
              <w:rPr>
                <w:b/>
                <w:sz w:val="32"/>
              </w:rPr>
            </w:pPr>
            <w:r>
              <w:rPr>
                <w:b/>
                <w:sz w:val="32"/>
              </w:rPr>
              <w:t>4.42</w:t>
            </w:r>
          </w:p>
        </w:tc>
        <w:tc>
          <w:tcPr>
            <w:tcW w:w="3600" w:type="dxa"/>
            <w:tcBorders>
              <w:bottom w:val="single" w:sz="4" w:space="0" w:color="auto"/>
            </w:tcBorders>
            <w:vAlign w:val="center"/>
          </w:tcPr>
          <w:p w:rsidR="000D34D3" w:rsidRDefault="000D34D3" w:rsidP="003E7B59">
            <w:pPr>
              <w:pStyle w:val="BodyText"/>
            </w:pPr>
            <w:r>
              <w:t>EFFECTIVE</w:t>
            </w:r>
          </w:p>
          <w:p w:rsidR="000D34D3" w:rsidRPr="003B184A" w:rsidRDefault="000D34D3" w:rsidP="003E7B59">
            <w:pPr>
              <w:pStyle w:val="BodyText"/>
              <w:rPr>
                <w:u w:val="single"/>
              </w:rPr>
            </w:pPr>
            <w:r>
              <w:t xml:space="preserve">DATE: </w:t>
            </w:r>
            <w:r>
              <w:rPr>
                <w:u w:val="single"/>
              </w:rPr>
              <w:t>06/29/2011</w:t>
            </w:r>
          </w:p>
        </w:tc>
      </w:tr>
      <w:tr w:rsidR="000D34D3">
        <w:trPr>
          <w:cantSplit/>
          <w:trHeight w:val="652"/>
          <w:jc w:val="center"/>
        </w:trPr>
        <w:tc>
          <w:tcPr>
            <w:tcW w:w="5181" w:type="dxa"/>
            <w:vMerge/>
            <w:tcBorders>
              <w:bottom w:val="single" w:sz="4" w:space="0" w:color="auto"/>
            </w:tcBorders>
            <w:vAlign w:val="center"/>
          </w:tcPr>
          <w:p w:rsidR="000D34D3" w:rsidRDefault="000D34D3">
            <w:pPr>
              <w:jc w:val="center"/>
              <w:rPr>
                <w:sz w:val="28"/>
              </w:rPr>
            </w:pPr>
          </w:p>
        </w:tc>
        <w:tc>
          <w:tcPr>
            <w:tcW w:w="3600" w:type="dxa"/>
            <w:vMerge w:val="restart"/>
            <w:tcBorders>
              <w:bottom w:val="nil"/>
            </w:tcBorders>
            <w:vAlign w:val="center"/>
          </w:tcPr>
          <w:p w:rsidR="000D34D3" w:rsidRDefault="000D34D3">
            <w:pPr>
              <w:pStyle w:val="BodyText"/>
            </w:pPr>
            <w:r>
              <w:t>REVISION</w:t>
            </w:r>
          </w:p>
          <w:p w:rsidR="000D34D3" w:rsidRPr="000D34D3" w:rsidRDefault="000D34D3">
            <w:pPr>
              <w:pStyle w:val="BodyText"/>
            </w:pPr>
            <w:r>
              <w:t>DATE:</w:t>
            </w:r>
          </w:p>
        </w:tc>
      </w:tr>
      <w:tr w:rsidR="000D34D3">
        <w:trPr>
          <w:cantSplit/>
          <w:trHeight w:val="652"/>
          <w:jc w:val="center"/>
        </w:trPr>
        <w:tc>
          <w:tcPr>
            <w:tcW w:w="5181" w:type="dxa"/>
            <w:vMerge w:val="restart"/>
            <w:vAlign w:val="center"/>
          </w:tcPr>
          <w:p w:rsidR="000D34D3" w:rsidRDefault="000D34D3">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0D34D3" w:rsidRDefault="000D34D3">
            <w:pPr>
              <w:jc w:val="center"/>
              <w:rPr>
                <w:b/>
              </w:rPr>
            </w:pPr>
            <w:r>
              <w:rPr>
                <w:sz w:val="28"/>
              </w:rPr>
              <w:t xml:space="preserve">REFERENCED:  </w:t>
            </w:r>
            <w:r>
              <w:rPr>
                <w:b/>
                <w:sz w:val="28"/>
              </w:rPr>
              <w:t>22.2.7</w:t>
            </w:r>
          </w:p>
        </w:tc>
        <w:tc>
          <w:tcPr>
            <w:tcW w:w="3600" w:type="dxa"/>
            <w:vMerge/>
            <w:vAlign w:val="center"/>
          </w:tcPr>
          <w:p w:rsidR="000D34D3" w:rsidRDefault="000D34D3"/>
        </w:tc>
      </w:tr>
      <w:tr w:rsidR="000D34D3">
        <w:trPr>
          <w:cantSplit/>
          <w:trHeight w:val="1234"/>
          <w:jc w:val="center"/>
        </w:trPr>
        <w:tc>
          <w:tcPr>
            <w:tcW w:w="5181" w:type="dxa"/>
            <w:vMerge/>
            <w:vAlign w:val="center"/>
          </w:tcPr>
          <w:p w:rsidR="000D34D3" w:rsidRDefault="000D34D3">
            <w:pPr>
              <w:pStyle w:val="BodyText"/>
              <w:jc w:val="center"/>
            </w:pPr>
          </w:p>
        </w:tc>
        <w:tc>
          <w:tcPr>
            <w:tcW w:w="3600" w:type="dxa"/>
            <w:tcBorders>
              <w:bottom w:val="single" w:sz="4" w:space="0" w:color="auto"/>
            </w:tcBorders>
            <w:vAlign w:val="center"/>
          </w:tcPr>
          <w:p w:rsidR="000D34D3" w:rsidRDefault="000D34D3">
            <w:pPr>
              <w:pStyle w:val="BodyText"/>
            </w:pPr>
            <w:r>
              <w:t xml:space="preserve">REVIEW </w:t>
            </w:r>
          </w:p>
          <w:p w:rsidR="000D34D3" w:rsidRDefault="000D34D3">
            <w:pPr>
              <w:pStyle w:val="BodyText"/>
            </w:pPr>
            <w:r>
              <w:t>DATE:</w:t>
            </w:r>
            <w:r w:rsidR="00C127AE">
              <w:t xml:space="preserve"> </w:t>
            </w:r>
            <w:r w:rsidR="003F5365">
              <w:rPr>
                <w:u w:val="single"/>
              </w:rPr>
              <w:t>7/</w:t>
            </w:r>
            <w:r w:rsidR="00657408">
              <w:rPr>
                <w:u w:val="single"/>
              </w:rPr>
              <w:t>2</w:t>
            </w:r>
            <w:r w:rsidR="00C878F2">
              <w:rPr>
                <w:u w:val="single"/>
              </w:rPr>
              <w:t>5/2022</w:t>
            </w:r>
          </w:p>
        </w:tc>
      </w:tr>
    </w:tbl>
    <w:p w:rsidR="0058206A" w:rsidRDefault="0058206A" w:rsidP="0058206A"/>
    <w:p w:rsidR="0058206A" w:rsidRDefault="001D1FCE" w:rsidP="0058206A">
      <w:pPr>
        <w:pStyle w:val="Heading1"/>
        <w:numPr>
          <w:ilvl w:val="0"/>
          <w:numId w:val="1"/>
        </w:numPr>
      </w:pPr>
      <w:r>
        <w:t>BACKGROUND</w:t>
      </w:r>
    </w:p>
    <w:p w:rsidR="0058206A" w:rsidRDefault="001D1FCE" w:rsidP="0058206A">
      <w:pPr>
        <w:ind w:left="360"/>
      </w:pPr>
      <w:r>
        <w:t>Confidence in police operations and employee accountability is enhanced when members of the public are able to positively identify Department employees. The purpose of this policy is to ensure that the public can properly identify Department members and be certain that persons claiming to be Department members are in fact so.</w:t>
      </w:r>
    </w:p>
    <w:p w:rsidR="0058206A" w:rsidRDefault="0058206A" w:rsidP="0058206A">
      <w:pPr>
        <w:pStyle w:val="Heading1"/>
        <w:numPr>
          <w:ilvl w:val="0"/>
          <w:numId w:val="1"/>
        </w:numPr>
      </w:pPr>
      <w:r>
        <w:t>policy</w:t>
      </w:r>
    </w:p>
    <w:p w:rsidR="0058206A" w:rsidRDefault="0058206A" w:rsidP="0058206A">
      <w:pPr>
        <w:ind w:left="360"/>
        <w:rPr>
          <w:b/>
        </w:rPr>
      </w:pPr>
      <w:r>
        <w:t xml:space="preserve">It is the policy of this </w:t>
      </w:r>
      <w:r w:rsidR="00716C6A">
        <w:t>D</w:t>
      </w:r>
      <w:r>
        <w:t xml:space="preserve">epartment that: </w:t>
      </w:r>
    </w:p>
    <w:p w:rsidR="0058206A" w:rsidRDefault="00476185" w:rsidP="0058206A">
      <w:pPr>
        <w:numPr>
          <w:ilvl w:val="1"/>
          <w:numId w:val="1"/>
        </w:numPr>
      </w:pPr>
      <w:r>
        <w:t>That all Department</w:t>
      </w:r>
      <w:r w:rsidR="00657408">
        <w:t xml:space="preserve"> em</w:t>
      </w:r>
      <w:r w:rsidR="00930913">
        <w:t>ployees, sworn and non-sworn,</w:t>
      </w:r>
      <w:r w:rsidR="00657408">
        <w:t xml:space="preserve"> </w:t>
      </w:r>
      <w:r>
        <w:t>shall have a Department-issued Identification Card.</w:t>
      </w:r>
    </w:p>
    <w:p w:rsidR="00476185" w:rsidRDefault="00476185" w:rsidP="0058206A">
      <w:pPr>
        <w:numPr>
          <w:ilvl w:val="1"/>
          <w:numId w:val="1"/>
        </w:numPr>
      </w:pPr>
      <w:r>
        <w:t xml:space="preserve">Department members are not required to display their Department ID </w:t>
      </w:r>
      <w:r w:rsidR="00716C6A">
        <w:t>C</w:t>
      </w:r>
      <w:r>
        <w:t>ard while performing official duties, but will have it readily available as needed.</w:t>
      </w:r>
    </w:p>
    <w:p w:rsidR="0058206A" w:rsidRDefault="00476185" w:rsidP="0058206A">
      <w:pPr>
        <w:pStyle w:val="Heading1"/>
        <w:numPr>
          <w:ilvl w:val="0"/>
          <w:numId w:val="1"/>
        </w:numPr>
      </w:pPr>
      <w:r>
        <w:t>CONTENTS [22.2.7</w:t>
      </w:r>
      <w:r w:rsidR="002A0A33">
        <w:t xml:space="preserve"> b</w:t>
      </w:r>
      <w:r>
        <w:t>]</w:t>
      </w:r>
    </w:p>
    <w:p w:rsidR="00476185" w:rsidRPr="00476185" w:rsidRDefault="00476185" w:rsidP="00476185">
      <w:r>
        <w:t xml:space="preserve">     Department ID Cards will contain the following information:     </w:t>
      </w:r>
    </w:p>
    <w:p w:rsidR="0058206A" w:rsidRPr="00476185" w:rsidRDefault="00476185" w:rsidP="0058206A">
      <w:pPr>
        <w:numPr>
          <w:ilvl w:val="1"/>
          <w:numId w:val="1"/>
        </w:numPr>
        <w:rPr>
          <w:szCs w:val="24"/>
        </w:rPr>
      </w:pPr>
      <w:r w:rsidRPr="00476185">
        <w:rPr>
          <w:szCs w:val="24"/>
        </w:rPr>
        <w:t>The employee’s name.</w:t>
      </w:r>
    </w:p>
    <w:p w:rsidR="00476185" w:rsidRDefault="00476185" w:rsidP="0058206A">
      <w:pPr>
        <w:numPr>
          <w:ilvl w:val="1"/>
          <w:numId w:val="1"/>
        </w:numPr>
        <w:rPr>
          <w:szCs w:val="24"/>
        </w:rPr>
      </w:pPr>
      <w:r w:rsidRPr="00476185">
        <w:rPr>
          <w:szCs w:val="24"/>
        </w:rPr>
        <w:t>A photograph of the employee</w:t>
      </w:r>
      <w:r>
        <w:rPr>
          <w:szCs w:val="24"/>
        </w:rPr>
        <w:t>.</w:t>
      </w:r>
    </w:p>
    <w:p w:rsidR="00476185" w:rsidRDefault="00476185" w:rsidP="0058206A">
      <w:pPr>
        <w:numPr>
          <w:ilvl w:val="1"/>
          <w:numId w:val="1"/>
        </w:numPr>
        <w:rPr>
          <w:szCs w:val="24"/>
        </w:rPr>
      </w:pPr>
      <w:r>
        <w:rPr>
          <w:szCs w:val="24"/>
        </w:rPr>
        <w:t>An issue date and expiration date.</w:t>
      </w:r>
    </w:p>
    <w:p w:rsidR="00476185" w:rsidRDefault="00476185" w:rsidP="0058206A">
      <w:pPr>
        <w:numPr>
          <w:ilvl w:val="1"/>
          <w:numId w:val="1"/>
        </w:numPr>
        <w:rPr>
          <w:szCs w:val="24"/>
        </w:rPr>
      </w:pPr>
      <w:r>
        <w:rPr>
          <w:szCs w:val="24"/>
        </w:rPr>
        <w:t>Department contact information.</w:t>
      </w:r>
    </w:p>
    <w:p w:rsidR="003F5365" w:rsidRPr="003F5365" w:rsidRDefault="003F5365" w:rsidP="003F5365">
      <w:pPr>
        <w:ind w:left="360"/>
        <w:rPr>
          <w:i/>
          <w:szCs w:val="24"/>
        </w:rPr>
      </w:pPr>
      <w:r w:rsidRPr="003F5365">
        <w:rPr>
          <w:i/>
          <w:szCs w:val="24"/>
        </w:rPr>
        <w:t xml:space="preserve">ID’s are issued every 6 years or to coincide with an LTC expiration date.  </w:t>
      </w:r>
    </w:p>
    <w:p w:rsidR="0058206A" w:rsidRDefault="002A0A33" w:rsidP="0058206A">
      <w:pPr>
        <w:pStyle w:val="Heading1"/>
        <w:numPr>
          <w:ilvl w:val="0"/>
          <w:numId w:val="1"/>
        </w:numPr>
      </w:pPr>
      <w:r>
        <w:lastRenderedPageBreak/>
        <w:t>PUBLIC REqUESTS</w:t>
      </w:r>
      <w:r w:rsidR="0058206A">
        <w:t xml:space="preserve"> </w:t>
      </w:r>
      <w:r>
        <w:t xml:space="preserve">[22.2.7 </w:t>
      </w:r>
      <w:r w:rsidR="007927CC">
        <w:t>a</w:t>
      </w:r>
      <w:r>
        <w:t>]</w:t>
      </w:r>
    </w:p>
    <w:p w:rsidR="002A0A33" w:rsidRPr="002A0A33" w:rsidRDefault="002A0A33" w:rsidP="002A0A33">
      <w:pPr>
        <w:ind w:left="540"/>
      </w:pPr>
      <w:r>
        <w:t>The Department recognizes that there may be times when a member of the public wishes to confirm the identity of a Department employee.</w:t>
      </w:r>
    </w:p>
    <w:p w:rsidR="0058206A" w:rsidRDefault="005E4C94" w:rsidP="005E4C94">
      <w:r>
        <w:tab/>
        <w:t>1.  Department members shall give their rank (if applicable), la</w:t>
      </w:r>
      <w:r w:rsidR="00716C6A">
        <w:t>s</w:t>
      </w:r>
      <w:r>
        <w:t xml:space="preserve">t name </w:t>
      </w:r>
      <w:r>
        <w:tab/>
        <w:t xml:space="preserve">     </w:t>
      </w:r>
      <w:r>
        <w:tab/>
        <w:t xml:space="preserve">     and ID number to any person requesting such information, except </w:t>
      </w:r>
      <w:r>
        <w:tab/>
        <w:t xml:space="preserve"> </w:t>
      </w:r>
      <w:r>
        <w:tab/>
        <w:t xml:space="preserve">     where the physical safety of a member or the Department is </w:t>
      </w:r>
      <w:r>
        <w:tab/>
        <w:t xml:space="preserve"> </w:t>
      </w:r>
      <w:r>
        <w:tab/>
        <w:t xml:space="preserve">  </w:t>
      </w:r>
      <w:r>
        <w:tab/>
        <w:t xml:space="preserve">     threatened.</w:t>
      </w:r>
    </w:p>
    <w:p w:rsidR="0058206A" w:rsidRDefault="005E4C94" w:rsidP="007927CC">
      <w:r>
        <w:tab/>
        <w:t>2.</w:t>
      </w:r>
      <w:r w:rsidR="007927CC">
        <w:t xml:space="preserve">  </w:t>
      </w:r>
      <w:r>
        <w:t xml:space="preserve">If a person requests to see the ID Card of a </w:t>
      </w:r>
      <w:r w:rsidR="00716C6A">
        <w:t>D</w:t>
      </w:r>
      <w:r>
        <w:t xml:space="preserve">epartment employee, the                   </w:t>
      </w:r>
      <w:r w:rsidR="007927CC">
        <w:tab/>
        <w:t xml:space="preserve">     </w:t>
      </w:r>
      <w:r>
        <w:t xml:space="preserve">employee will display his/her ID, except where the physical safety of a </w:t>
      </w:r>
      <w:r w:rsidR="007927CC">
        <w:tab/>
        <w:t xml:space="preserve">     </w:t>
      </w:r>
      <w:r>
        <w:t xml:space="preserve">member or the Department is threatened. This does not </w:t>
      </w:r>
      <w:r w:rsidR="007927CC">
        <w:t>require</w:t>
      </w:r>
      <w:r>
        <w:t xml:space="preserve"> the </w:t>
      </w:r>
      <w:r w:rsidR="007927CC">
        <w:tab/>
        <w:t xml:space="preserve">    </w:t>
      </w:r>
      <w:r w:rsidR="007927CC">
        <w:tab/>
        <w:t xml:space="preserve">     </w:t>
      </w:r>
      <w:r>
        <w:t xml:space="preserve">employee to physically hand the ID Card to the inquiring person, but </w:t>
      </w:r>
      <w:r w:rsidR="007927CC">
        <w:tab/>
        <w:t xml:space="preserve">  </w:t>
      </w:r>
      <w:r w:rsidR="007927CC">
        <w:tab/>
        <w:t xml:space="preserve">     </w:t>
      </w:r>
      <w:r>
        <w:t xml:space="preserve">they must allow the person to view it within a reasonable distance to </w:t>
      </w:r>
      <w:r w:rsidR="007927CC">
        <w:tab/>
        <w:t xml:space="preserve"> </w:t>
      </w:r>
      <w:r w:rsidR="007927CC">
        <w:tab/>
        <w:t xml:space="preserve">     </w:t>
      </w:r>
      <w:r>
        <w:t>read the listed information.</w:t>
      </w:r>
    </w:p>
    <w:p w:rsidR="007927CC" w:rsidRDefault="007927CC" w:rsidP="007927CC">
      <w:pPr>
        <w:rPr>
          <w:b/>
          <w:sz w:val="36"/>
          <w:szCs w:val="36"/>
        </w:rPr>
      </w:pPr>
      <w:r>
        <w:rPr>
          <w:b/>
          <w:sz w:val="36"/>
          <w:szCs w:val="36"/>
        </w:rPr>
        <w:t>V.</w:t>
      </w:r>
      <w:r>
        <w:rPr>
          <w:b/>
          <w:sz w:val="36"/>
          <w:szCs w:val="36"/>
        </w:rPr>
        <w:tab/>
        <w:t>UNDERCOVER OPERATIONS</w:t>
      </w:r>
    </w:p>
    <w:p w:rsidR="007927CC" w:rsidRDefault="007927CC" w:rsidP="003F5365">
      <w:pPr>
        <w:ind w:left="720"/>
        <w:rPr>
          <w:szCs w:val="24"/>
        </w:rPr>
      </w:pPr>
      <w:r>
        <w:rPr>
          <w:szCs w:val="24"/>
        </w:rPr>
        <w:t>Officers operating in undercover situations shall be exempt from any requirement to provide their Department information</w:t>
      </w:r>
      <w:r w:rsidR="003F5365">
        <w:rPr>
          <w:szCs w:val="24"/>
        </w:rPr>
        <w:t xml:space="preserve">, carry </w:t>
      </w:r>
      <w:r>
        <w:rPr>
          <w:szCs w:val="24"/>
        </w:rPr>
        <w:t xml:space="preserve">or display </w:t>
      </w:r>
      <w:r w:rsidR="003F5365">
        <w:rPr>
          <w:szCs w:val="24"/>
        </w:rPr>
        <w:t xml:space="preserve">their ID </w:t>
      </w:r>
      <w:r>
        <w:rPr>
          <w:szCs w:val="24"/>
        </w:rPr>
        <w:t>Card.</w:t>
      </w:r>
    </w:p>
    <w:p w:rsidR="007927CC" w:rsidRDefault="007927CC" w:rsidP="007927CC">
      <w:pPr>
        <w:rPr>
          <w:b/>
          <w:sz w:val="36"/>
          <w:szCs w:val="36"/>
        </w:rPr>
      </w:pPr>
      <w:r>
        <w:rPr>
          <w:b/>
          <w:sz w:val="36"/>
          <w:szCs w:val="36"/>
        </w:rPr>
        <w:t>VI.</w:t>
      </w:r>
      <w:r>
        <w:rPr>
          <w:b/>
          <w:sz w:val="36"/>
          <w:szCs w:val="36"/>
        </w:rPr>
        <w:tab/>
        <w:t>MISUSE OF IDs</w:t>
      </w:r>
    </w:p>
    <w:p w:rsidR="007927CC" w:rsidRDefault="007927CC" w:rsidP="007927CC">
      <w:pPr>
        <w:rPr>
          <w:szCs w:val="24"/>
        </w:rPr>
      </w:pPr>
      <w:r>
        <w:rPr>
          <w:b/>
          <w:sz w:val="36"/>
          <w:szCs w:val="36"/>
        </w:rPr>
        <w:tab/>
      </w:r>
      <w:r>
        <w:rPr>
          <w:szCs w:val="24"/>
        </w:rPr>
        <w:t xml:space="preserve">Department ID Cards are official police documents and are to be used </w:t>
      </w:r>
      <w:r>
        <w:rPr>
          <w:szCs w:val="24"/>
        </w:rPr>
        <w:tab/>
        <w:t xml:space="preserve">only for police-related activities. Misuse of a Department ID Card may </w:t>
      </w:r>
      <w:r>
        <w:rPr>
          <w:szCs w:val="24"/>
        </w:rPr>
        <w:tab/>
        <w:t>result in disciplinary action.</w:t>
      </w:r>
    </w:p>
    <w:p w:rsidR="007927CC" w:rsidRDefault="007927CC" w:rsidP="007927CC">
      <w:pPr>
        <w:rPr>
          <w:b/>
          <w:sz w:val="36"/>
          <w:szCs w:val="36"/>
        </w:rPr>
      </w:pPr>
      <w:r>
        <w:rPr>
          <w:b/>
          <w:sz w:val="36"/>
          <w:szCs w:val="36"/>
        </w:rPr>
        <w:t>VII.</w:t>
      </w:r>
      <w:r>
        <w:rPr>
          <w:b/>
          <w:sz w:val="36"/>
          <w:szCs w:val="36"/>
        </w:rPr>
        <w:tab/>
        <w:t>RETURN OF IDs</w:t>
      </w:r>
    </w:p>
    <w:p w:rsidR="00E52856" w:rsidRDefault="00E52856" w:rsidP="007927CC">
      <w:pPr>
        <w:rPr>
          <w:szCs w:val="24"/>
        </w:rPr>
      </w:pPr>
      <w:r>
        <w:rPr>
          <w:b/>
          <w:sz w:val="36"/>
          <w:szCs w:val="36"/>
        </w:rPr>
        <w:tab/>
      </w:r>
      <w:r>
        <w:rPr>
          <w:szCs w:val="24"/>
        </w:rPr>
        <w:t xml:space="preserve">Upon termination from the </w:t>
      </w:r>
      <w:r w:rsidR="00716C6A">
        <w:rPr>
          <w:szCs w:val="24"/>
        </w:rPr>
        <w:t>D</w:t>
      </w:r>
      <w:r>
        <w:rPr>
          <w:szCs w:val="24"/>
        </w:rPr>
        <w:t>epartment, employees shall</w:t>
      </w:r>
      <w:r w:rsidR="00F0617B">
        <w:rPr>
          <w:szCs w:val="24"/>
        </w:rPr>
        <w:t xml:space="preserve"> return their ID </w:t>
      </w:r>
      <w:r w:rsidR="00F0617B">
        <w:rPr>
          <w:szCs w:val="24"/>
        </w:rPr>
        <w:tab/>
        <w:t>Cards to the Chief of P</w:t>
      </w:r>
      <w:r>
        <w:rPr>
          <w:szCs w:val="24"/>
        </w:rPr>
        <w:t xml:space="preserve">olice. Employees who retire from the </w:t>
      </w:r>
      <w:r w:rsidR="00716C6A">
        <w:rPr>
          <w:szCs w:val="24"/>
        </w:rPr>
        <w:t>D</w:t>
      </w:r>
      <w:r>
        <w:rPr>
          <w:szCs w:val="24"/>
        </w:rPr>
        <w:t xml:space="preserve">epartment </w:t>
      </w:r>
      <w:r>
        <w:rPr>
          <w:szCs w:val="24"/>
        </w:rPr>
        <w:tab/>
        <w:t>shall be issued a retirement ID Card.</w:t>
      </w:r>
    </w:p>
    <w:p w:rsidR="00716C6A" w:rsidRDefault="00716C6A" w:rsidP="007927CC">
      <w:pPr>
        <w:rPr>
          <w:szCs w:val="24"/>
        </w:rPr>
      </w:pPr>
    </w:p>
    <w:p w:rsidR="00C878F2" w:rsidRDefault="00C878F2" w:rsidP="00C878F2">
      <w:pPr>
        <w:rPr>
          <w:noProof/>
        </w:rPr>
      </w:pPr>
      <w:r>
        <w:rPr>
          <w:noProof/>
        </w:rPr>
        <w:t>Issued by: Chief Paul E. Storti</w:t>
      </w:r>
    </w:p>
    <w:p w:rsidR="00716C6A" w:rsidRDefault="00C878F2" w:rsidP="007927CC">
      <w:pPr>
        <w:rPr>
          <w:szCs w:val="24"/>
        </w:rPr>
      </w:pPr>
      <w:r w:rsidRPr="00F164D0">
        <w:rPr>
          <w:noProof/>
        </w:rPr>
        <w:drawing>
          <wp:inline distT="0" distB="0" distL="0" distR="0" wp14:anchorId="4FA03FCD" wp14:editId="51BC7888">
            <wp:extent cx="3076575" cy="838200"/>
            <wp:effectExtent l="0" t="0" r="0" b="0"/>
            <wp:docPr id="4"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716C6A" w:rsidRDefault="00716C6A" w:rsidP="007927CC">
      <w:pPr>
        <w:rPr>
          <w:szCs w:val="24"/>
        </w:rPr>
      </w:pPr>
    </w:p>
    <w:p w:rsidR="00716C6A" w:rsidRDefault="00716C6A" w:rsidP="00716C6A">
      <w:bookmarkStart w:id="0" w:name="_GoBack"/>
      <w:bookmarkEnd w:id="0"/>
    </w:p>
    <w:p w:rsidR="00716C6A" w:rsidRDefault="00716C6A" w:rsidP="00716C6A"/>
    <w:p w:rsidR="00716C6A" w:rsidRDefault="00716C6A" w:rsidP="00716C6A">
      <w:pPr>
        <w:pStyle w:val="EndnoteText"/>
      </w:pPr>
    </w:p>
    <w:p w:rsidR="00716C6A" w:rsidRPr="00922572" w:rsidRDefault="00716C6A" w:rsidP="007927CC"/>
    <w:sectPr w:rsidR="00716C6A" w:rsidRPr="00922572" w:rsidSect="0058206A">
      <w:headerReference w:type="even" r:id="rId8"/>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41" w:rsidRDefault="000D4C41">
      <w:r>
        <w:separator/>
      </w:r>
    </w:p>
  </w:endnote>
  <w:endnote w:type="continuationSeparator" w:id="0">
    <w:p w:rsidR="000D4C41" w:rsidRDefault="000D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E" w:rsidRDefault="001D1FCE">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E" w:rsidRDefault="001D1FCE">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E" w:rsidRDefault="001D1FCE">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41" w:rsidRDefault="000D4C41">
      <w:r>
        <w:separator/>
      </w:r>
    </w:p>
  </w:footnote>
  <w:footnote w:type="continuationSeparator" w:id="0">
    <w:p w:rsidR="000D4C41" w:rsidRDefault="000D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E" w:rsidRDefault="001D1FCE" w:rsidP="0058206A">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431D67">
      <w:rPr>
        <w:rStyle w:val="PageNumber"/>
        <w:noProof/>
      </w:rPr>
      <w:t>2</w:t>
    </w:r>
    <w:r>
      <w:rPr>
        <w:rStyle w:val="PageNumber"/>
      </w:rPr>
      <w:fldChar w:fldCharType="end"/>
    </w:r>
    <w:r>
      <w:tab/>
    </w:r>
    <w:r w:rsidR="002A0A33">
      <w:t>Department Identification Cards</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E" w:rsidRDefault="001D1FCE" w:rsidP="0058206A">
    <w:pPr>
      <w:pStyle w:val="Header"/>
      <w:pBdr>
        <w:bottom w:val="single" w:sz="4" w:space="1" w:color="auto"/>
      </w:pBdr>
      <w:tabs>
        <w:tab w:val="clear" w:pos="4320"/>
        <w:tab w:val="clear" w:pos="8640"/>
        <w:tab w:val="center" w:pos="4680"/>
        <w:tab w:val="right" w:pos="9360"/>
      </w:tabs>
    </w:pPr>
    <w:r>
      <w:tab/>
      <w:t>Reserves and Specials</w:t>
    </w:r>
    <w:r>
      <w:tab/>
      <w:t xml:space="preserve">    </w:t>
    </w:r>
    <w:r>
      <w:rPr>
        <w:rStyle w:val="PageNumber"/>
      </w:rPr>
      <w:fldChar w:fldCharType="begin"/>
    </w:r>
    <w:r>
      <w:rPr>
        <w:rStyle w:val="PageNumber"/>
      </w:rPr>
      <w:instrText xml:space="preserve"> PAGE </w:instrText>
    </w:r>
    <w:r>
      <w:rPr>
        <w:rStyle w:val="PageNumber"/>
      </w:rPr>
      <w:fldChar w:fldCharType="separate"/>
    </w:r>
    <w:r w:rsidR="00431D67">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49A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B8F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10F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2E7C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3C36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FEC8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4825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F06C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FE2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22D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66667"/>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4254BAE"/>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457024"/>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134A62"/>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527B98"/>
    <w:multiLevelType w:val="multilevel"/>
    <w:tmpl w:val="F804578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4179C6"/>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7FC74C6"/>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D31164C"/>
    <w:multiLevelType w:val="multilevel"/>
    <w:tmpl w:val="1C88FE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6"/>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B7"/>
    <w:rsid w:val="000356F9"/>
    <w:rsid w:val="00046E25"/>
    <w:rsid w:val="00047DE8"/>
    <w:rsid w:val="000520B7"/>
    <w:rsid w:val="00063B5E"/>
    <w:rsid w:val="00066CB7"/>
    <w:rsid w:val="00084500"/>
    <w:rsid w:val="0009462F"/>
    <w:rsid w:val="000D34D3"/>
    <w:rsid w:val="000D4C41"/>
    <w:rsid w:val="000E3416"/>
    <w:rsid w:val="001152CB"/>
    <w:rsid w:val="0016107A"/>
    <w:rsid w:val="001D1FCE"/>
    <w:rsid w:val="002250E5"/>
    <w:rsid w:val="00251856"/>
    <w:rsid w:val="002A0A33"/>
    <w:rsid w:val="00320F34"/>
    <w:rsid w:val="003526D9"/>
    <w:rsid w:val="003B184A"/>
    <w:rsid w:val="003B6913"/>
    <w:rsid w:val="003E7B59"/>
    <w:rsid w:val="003F5365"/>
    <w:rsid w:val="00431D67"/>
    <w:rsid w:val="00476185"/>
    <w:rsid w:val="004E5796"/>
    <w:rsid w:val="00522E39"/>
    <w:rsid w:val="0058206A"/>
    <w:rsid w:val="005E4C94"/>
    <w:rsid w:val="0063561A"/>
    <w:rsid w:val="00657408"/>
    <w:rsid w:val="006D02CF"/>
    <w:rsid w:val="00716C6A"/>
    <w:rsid w:val="00770B50"/>
    <w:rsid w:val="007927CC"/>
    <w:rsid w:val="007C1087"/>
    <w:rsid w:val="00837AAB"/>
    <w:rsid w:val="00863902"/>
    <w:rsid w:val="00922572"/>
    <w:rsid w:val="00930913"/>
    <w:rsid w:val="00962B22"/>
    <w:rsid w:val="009815B6"/>
    <w:rsid w:val="00984C9E"/>
    <w:rsid w:val="009B4586"/>
    <w:rsid w:val="009D3382"/>
    <w:rsid w:val="00A355B3"/>
    <w:rsid w:val="00A774EB"/>
    <w:rsid w:val="00BB47C2"/>
    <w:rsid w:val="00BD18EF"/>
    <w:rsid w:val="00BE1D46"/>
    <w:rsid w:val="00C074BD"/>
    <w:rsid w:val="00C127AE"/>
    <w:rsid w:val="00C878F2"/>
    <w:rsid w:val="00CB1579"/>
    <w:rsid w:val="00CF232A"/>
    <w:rsid w:val="00D339F8"/>
    <w:rsid w:val="00D55B99"/>
    <w:rsid w:val="00D71E95"/>
    <w:rsid w:val="00DA348D"/>
    <w:rsid w:val="00DB3676"/>
    <w:rsid w:val="00DE71A3"/>
    <w:rsid w:val="00E33502"/>
    <w:rsid w:val="00E52856"/>
    <w:rsid w:val="00E71FCA"/>
    <w:rsid w:val="00F0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C2A0BD"/>
  <w15:docId w15:val="{80952D57-3429-449E-8006-4035BE0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64"/>
    <w:pPr>
      <w:spacing w:after="120"/>
    </w:pPr>
    <w:rPr>
      <w:rFonts w:ascii="Bookman Old Style" w:hAnsi="Bookman Old Style"/>
      <w:sz w:val="24"/>
    </w:rPr>
  </w:style>
  <w:style w:type="paragraph" w:styleId="Heading1">
    <w:name w:val="heading 1"/>
    <w:basedOn w:val="Normal"/>
    <w:next w:val="Normal"/>
    <w:qFormat/>
    <w:rsid w:val="00A30964"/>
    <w:pPr>
      <w:keepNext/>
      <w:outlineLvl w:val="0"/>
    </w:pPr>
    <w:rPr>
      <w:b/>
      <w:caps/>
      <w:sz w:val="36"/>
    </w:rPr>
  </w:style>
  <w:style w:type="paragraph" w:styleId="Heading2">
    <w:name w:val="heading 2"/>
    <w:basedOn w:val="Normal"/>
    <w:next w:val="Normal"/>
    <w:qFormat/>
    <w:rsid w:val="00CF7C8D"/>
    <w:pPr>
      <w:keepNext/>
      <w:outlineLvl w:val="1"/>
    </w:pPr>
    <w:rPr>
      <w:b/>
      <w:i/>
      <w:sz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902432"/>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XT">
    <w:name w:val="MANUAL TXT"/>
    <w:basedOn w:val="Normal"/>
    <w:pPr>
      <w:ind w:left="720"/>
    </w:pPr>
    <w:rPr>
      <w:rFonts w:ascii="Times New Roman" w:hAnsi="Times New Roman"/>
      <w:color w:val="000000"/>
      <w:sz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pPr>
      <w:ind w:left="2160" w:hanging="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rsid w:val="00A30964"/>
    <w:pPr>
      <w:spacing w:after="480"/>
      <w:jc w:val="center"/>
      <w:outlineLvl w:val="0"/>
    </w:pPr>
    <w:rPr>
      <w:rFonts w:cs="Arial"/>
      <w:b/>
      <w:bCs/>
      <w:caps/>
      <w:kern w:val="28"/>
      <w:sz w:val="40"/>
      <w:szCs w:val="40"/>
    </w:rPr>
  </w:style>
  <w:style w:type="paragraph" w:customStyle="1" w:styleId="StyleHeading2NotItalic">
    <w:name w:val="Style Heading 2 + Not Italic"/>
    <w:basedOn w:val="Heading2"/>
    <w:rsid w:val="00CF7C8D"/>
    <w:rPr>
      <w:bCs/>
    </w:rPr>
  </w:style>
  <w:style w:type="paragraph" w:styleId="FootnoteText">
    <w:name w:val="footnote text"/>
    <w:basedOn w:val="Normal"/>
    <w:semiHidden/>
    <w:rsid w:val="009E2AB3"/>
    <w:rPr>
      <w:sz w:val="20"/>
    </w:rPr>
  </w:style>
  <w:style w:type="character" w:styleId="FootnoteReference">
    <w:name w:val="footnote reference"/>
    <w:semiHidden/>
    <w:rsid w:val="009E2AB3"/>
    <w:rPr>
      <w:vertAlign w:val="superscript"/>
    </w:rPr>
  </w:style>
  <w:style w:type="table" w:styleId="TableGrid">
    <w:name w:val="Table Grid"/>
    <w:basedOn w:val="TableNormal"/>
    <w:rsid w:val="003B6913"/>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24917">
      <w:bodyDiv w:val="1"/>
      <w:marLeft w:val="0"/>
      <w:marRight w:val="0"/>
      <w:marTop w:val="0"/>
      <w:marBottom w:val="0"/>
      <w:divBdr>
        <w:top w:val="none" w:sz="0" w:space="0" w:color="auto"/>
        <w:left w:val="none" w:sz="0" w:space="0" w:color="auto"/>
        <w:bottom w:val="none" w:sz="0" w:space="0" w:color="auto"/>
        <w:right w:val="none" w:sz="0" w:space="0" w:color="auto"/>
      </w:divBdr>
    </w:div>
    <w:div w:id="21054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RESERVES AND AUXILIARY</vt:lpstr>
    </vt:vector>
  </TitlesOfParts>
  <Company>MPI</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AND AUXILIARY</dc:title>
  <dc:subject>MPI Model Policy 2008</dc:subject>
  <dc:creator>John M. Collins</dc:creator>
  <dc:description>Updated by Daniel G. Sklut. Final version.</dc:description>
  <cp:lastModifiedBy>Becker, Cara</cp:lastModifiedBy>
  <cp:revision>3</cp:revision>
  <cp:lastPrinted>2022-09-06T18:32:00Z</cp:lastPrinted>
  <dcterms:created xsi:type="dcterms:W3CDTF">2022-09-06T18:32:00Z</dcterms:created>
  <dcterms:modified xsi:type="dcterms:W3CDTF">2022-09-06T18:32:00Z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-1917656598</vt:i4>
  </property>
  <property fmtid="{D5CDD505-2E9C-101B-9397-08002B2CF9AE}" pid="3" name="_EmailSubject">
    <vt:lpwstr>Final Approval: Reserves and Auxiliary</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-1917656598</vt:i4>
  </property>
  <property fmtid="{D5CDD505-2E9C-101B-9397-08002B2CF9AE}" pid="7" name="_ReviewingToolsShownOnce">
    <vt:lpwstr/>
  </property>
</Properties>
</file>