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58" w:rsidRPr="003D63C0" w:rsidRDefault="003D63C0" w:rsidP="003D63C0">
      <w:pPr>
        <w:pStyle w:val="Title"/>
      </w:pPr>
      <w:r w:rsidRPr="003D63C0">
        <w:t>Victim/witness</w:t>
      </w:r>
      <w:r w:rsidR="00E10A58" w:rsidRPr="003D63C0">
        <w:t xml:space="preserve">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F15725">
        <w:trPr>
          <w:cantSplit/>
          <w:trHeight w:val="1232"/>
          <w:jc w:val="center"/>
        </w:trPr>
        <w:tc>
          <w:tcPr>
            <w:tcW w:w="5181" w:type="dxa"/>
            <w:vMerge w:val="restart"/>
            <w:tcBorders>
              <w:bottom w:val="nil"/>
            </w:tcBorders>
            <w:vAlign w:val="center"/>
          </w:tcPr>
          <w:p w:rsidR="00F15725" w:rsidRDefault="00F15725">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p>
          <w:p w:rsidR="00F15725" w:rsidRDefault="00F15725">
            <w:pPr>
              <w:pStyle w:val="BodyText"/>
              <w:jc w:val="center"/>
              <w:rPr>
                <w:sz w:val="32"/>
              </w:rPr>
            </w:pPr>
            <w:r>
              <w:rPr>
                <w:sz w:val="32"/>
              </w:rPr>
              <w:t>POLICE DEPARTMENT                                        POLICY &amp; PROCEDURE NO.</w:t>
            </w:r>
          </w:p>
          <w:p w:rsidR="00F15725" w:rsidRDefault="00F15725">
            <w:pPr>
              <w:pStyle w:val="BodyText"/>
              <w:jc w:val="center"/>
              <w:rPr>
                <w:b/>
              </w:rPr>
            </w:pPr>
            <w:r>
              <w:rPr>
                <w:b/>
                <w:sz w:val="32"/>
              </w:rPr>
              <w:t>4.04</w:t>
            </w:r>
          </w:p>
        </w:tc>
        <w:tc>
          <w:tcPr>
            <w:tcW w:w="3600" w:type="dxa"/>
            <w:tcBorders>
              <w:bottom w:val="single" w:sz="4" w:space="0" w:color="auto"/>
            </w:tcBorders>
            <w:vAlign w:val="center"/>
          </w:tcPr>
          <w:p w:rsidR="00F15725" w:rsidRDefault="00F15725" w:rsidP="00AD0F1E">
            <w:pPr>
              <w:pStyle w:val="BodyText"/>
            </w:pPr>
            <w:r>
              <w:t>EFFECTIVE</w:t>
            </w:r>
          </w:p>
          <w:p w:rsidR="00F15725" w:rsidRDefault="00F15725" w:rsidP="00AD0F1E">
            <w:pPr>
              <w:pStyle w:val="BodyText"/>
            </w:pPr>
            <w:r>
              <w:t xml:space="preserve">DATE: </w:t>
            </w:r>
            <w:r>
              <w:rPr>
                <w:u w:val="single"/>
              </w:rPr>
              <w:t>06/01/2009</w:t>
            </w:r>
          </w:p>
        </w:tc>
      </w:tr>
      <w:tr w:rsidR="00F15725">
        <w:trPr>
          <w:cantSplit/>
          <w:trHeight w:val="652"/>
          <w:jc w:val="center"/>
        </w:trPr>
        <w:tc>
          <w:tcPr>
            <w:tcW w:w="5181" w:type="dxa"/>
            <w:vMerge/>
            <w:tcBorders>
              <w:bottom w:val="single" w:sz="4" w:space="0" w:color="auto"/>
            </w:tcBorders>
            <w:vAlign w:val="center"/>
          </w:tcPr>
          <w:p w:rsidR="00F15725" w:rsidRDefault="00F15725">
            <w:pPr>
              <w:jc w:val="center"/>
              <w:rPr>
                <w:sz w:val="28"/>
              </w:rPr>
            </w:pPr>
          </w:p>
        </w:tc>
        <w:tc>
          <w:tcPr>
            <w:tcW w:w="3600" w:type="dxa"/>
            <w:vMerge w:val="restart"/>
            <w:tcBorders>
              <w:bottom w:val="nil"/>
            </w:tcBorders>
            <w:vAlign w:val="center"/>
          </w:tcPr>
          <w:p w:rsidR="00F15725" w:rsidRDefault="00F15725">
            <w:pPr>
              <w:pStyle w:val="BodyText"/>
            </w:pPr>
            <w:r>
              <w:t>REVISION</w:t>
            </w:r>
          </w:p>
          <w:p w:rsidR="00936A84" w:rsidRDefault="00F15725">
            <w:pPr>
              <w:pStyle w:val="BodyText"/>
            </w:pPr>
            <w:r>
              <w:t>DATE:</w:t>
            </w:r>
            <w:r w:rsidR="00936A84">
              <w:t xml:space="preserve"> 9/28/15</w:t>
            </w:r>
          </w:p>
        </w:tc>
      </w:tr>
      <w:tr w:rsidR="00F15725">
        <w:trPr>
          <w:cantSplit/>
          <w:trHeight w:val="652"/>
          <w:jc w:val="center"/>
        </w:trPr>
        <w:tc>
          <w:tcPr>
            <w:tcW w:w="5181" w:type="dxa"/>
            <w:vMerge w:val="restart"/>
            <w:vAlign w:val="center"/>
          </w:tcPr>
          <w:p w:rsidR="00F15725" w:rsidRDefault="00F15725" w:rsidP="00530F32">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F15725" w:rsidRDefault="00F15725" w:rsidP="00530F32">
            <w:pPr>
              <w:pStyle w:val="BodyText"/>
              <w:jc w:val="center"/>
              <w:rPr>
                <w:b/>
              </w:rPr>
            </w:pPr>
            <w:r>
              <w:t xml:space="preserve">REFERENCED: </w:t>
            </w:r>
            <w:r w:rsidRPr="00AE4E99">
              <w:rPr>
                <w:b/>
              </w:rPr>
              <w:t>55.1.1; 55.1.3, 55.2.1; 55.2.2, 55.2.3; 55.2.4</w:t>
            </w:r>
            <w:r>
              <w:rPr>
                <w:b/>
              </w:rPr>
              <w:t>; 55.2.5</w:t>
            </w:r>
          </w:p>
        </w:tc>
        <w:tc>
          <w:tcPr>
            <w:tcW w:w="3600" w:type="dxa"/>
            <w:vMerge/>
            <w:vAlign w:val="center"/>
          </w:tcPr>
          <w:p w:rsidR="00F15725" w:rsidRDefault="00F15725"/>
        </w:tc>
      </w:tr>
      <w:tr w:rsidR="00F15725">
        <w:trPr>
          <w:cantSplit/>
          <w:trHeight w:val="1234"/>
          <w:jc w:val="center"/>
        </w:trPr>
        <w:tc>
          <w:tcPr>
            <w:tcW w:w="5181" w:type="dxa"/>
            <w:vMerge/>
            <w:vAlign w:val="center"/>
          </w:tcPr>
          <w:p w:rsidR="00F15725" w:rsidRDefault="00F15725">
            <w:pPr>
              <w:pStyle w:val="BodyText"/>
              <w:jc w:val="center"/>
            </w:pPr>
          </w:p>
        </w:tc>
        <w:tc>
          <w:tcPr>
            <w:tcW w:w="3600" w:type="dxa"/>
            <w:tcBorders>
              <w:bottom w:val="single" w:sz="4" w:space="0" w:color="auto"/>
            </w:tcBorders>
            <w:vAlign w:val="center"/>
          </w:tcPr>
          <w:p w:rsidR="00F15725" w:rsidRDefault="00F15725">
            <w:pPr>
              <w:pStyle w:val="BodyText"/>
            </w:pPr>
            <w:r>
              <w:t>REVIEW</w:t>
            </w:r>
          </w:p>
          <w:p w:rsidR="00F15725" w:rsidRDefault="00F15725">
            <w:pPr>
              <w:pStyle w:val="BodyText"/>
            </w:pPr>
            <w:r>
              <w:t>DATE:</w:t>
            </w:r>
            <w:r w:rsidR="00B92059">
              <w:t xml:space="preserve"> </w:t>
            </w:r>
            <w:r w:rsidR="00402DA6">
              <w:rPr>
                <w:u w:val="single"/>
              </w:rPr>
              <w:t>4/12/2021</w:t>
            </w:r>
          </w:p>
        </w:tc>
      </w:tr>
    </w:tbl>
    <w:p w:rsidR="00E10A58" w:rsidRDefault="00E10A58" w:rsidP="003D63C0"/>
    <w:p w:rsidR="00E10A58" w:rsidRDefault="00E10A58" w:rsidP="00E10A58">
      <w:pPr>
        <w:pStyle w:val="Heading1"/>
        <w:numPr>
          <w:ilvl w:val="0"/>
          <w:numId w:val="22"/>
        </w:numPr>
      </w:pPr>
      <w:r>
        <w:t xml:space="preserve">General considerations </w:t>
      </w:r>
      <w:smartTag w:uri="urn:schemas-microsoft-com:office:smarttags" w:element="stockticker">
        <w:r>
          <w:t>and</w:t>
        </w:r>
      </w:smartTag>
      <w:r>
        <w:t xml:space="preserve"> guidelines</w:t>
      </w:r>
    </w:p>
    <w:p w:rsidR="00E10A58" w:rsidRDefault="00E10A58" w:rsidP="00E10A58">
      <w:pPr>
        <w:ind w:left="360"/>
      </w:pPr>
      <w:r>
        <w:t>Throughout history, police departments have traditionally been primarily concerned with apprehending and prosecuting offenders.  They often overlook the victim or witness and are unaware of his/her needs and concerns until [s]he is needed to testify at the trial.  This lack of concern on the part of the police department can (and probably will) lead to only half-hearted cooperation on the part of the victim or witness when called upon to follow through in the system.</w:t>
      </w:r>
    </w:p>
    <w:p w:rsidR="00E10A58" w:rsidRDefault="00E10A58" w:rsidP="00E10A58">
      <w:pPr>
        <w:ind w:left="360"/>
      </w:pPr>
      <w:r>
        <w:t>This policy aims to ensure that the victim or witness receives the same quality of care we often give the offender.  By increasing awareness of this situation, our goal is to foster a better relationship between the police and the victims and witnesses of crime.  This will ensure their full and complete cooperation in matters being investigated and prosecuted. It will also ensure the victim and witness that their concerns will be heard, and that the confidentiality of records and files, in so far as Massachusetts Law permits, will be upheld.</w:t>
      </w:r>
    </w:p>
    <w:p w:rsidR="00E10A58" w:rsidRDefault="00E10A58" w:rsidP="00E10A58">
      <w:pPr>
        <w:pStyle w:val="Heading1"/>
        <w:numPr>
          <w:ilvl w:val="0"/>
          <w:numId w:val="22"/>
        </w:numPr>
      </w:pPr>
      <w:r>
        <w:t>policy</w:t>
      </w:r>
    </w:p>
    <w:p w:rsidR="00E10A58" w:rsidRDefault="00E10A58" w:rsidP="00E10A58">
      <w:pPr>
        <w:ind w:left="360"/>
      </w:pPr>
      <w:r>
        <w:t>It is the policy of the department that:</w:t>
      </w:r>
    </w:p>
    <w:p w:rsidR="00E10A58" w:rsidRDefault="00E10A58" w:rsidP="00E10A58">
      <w:pPr>
        <w:numPr>
          <w:ilvl w:val="1"/>
          <w:numId w:val="21"/>
        </w:numPr>
      </w:pPr>
      <w:r>
        <w:t xml:space="preserve">All  employees of the police department treat any victim or witness of a crime with fairness, compassion and dignity; and,  </w:t>
      </w:r>
    </w:p>
    <w:p w:rsidR="00E10A58" w:rsidRDefault="00E10A58" w:rsidP="00E10A58">
      <w:pPr>
        <w:numPr>
          <w:ilvl w:val="1"/>
          <w:numId w:val="21"/>
        </w:numPr>
      </w:pPr>
      <w:r>
        <w:t>The department shall work in partnership with the District Attorney</w:t>
      </w:r>
      <w:r>
        <w:fldChar w:fldCharType="begin"/>
      </w:r>
      <w:r>
        <w:instrText>XE "district attorney"</w:instrText>
      </w:r>
      <w:r>
        <w:fldChar w:fldCharType="end"/>
      </w:r>
      <w:r>
        <w:t>'s Office and its Victim/Witness Assistance Program.</w:t>
      </w:r>
    </w:p>
    <w:p w:rsidR="00E10A58" w:rsidRDefault="00E10A58" w:rsidP="00E10A58">
      <w:pPr>
        <w:pStyle w:val="Heading1"/>
        <w:numPr>
          <w:ilvl w:val="0"/>
          <w:numId w:val="22"/>
        </w:numPr>
      </w:pPr>
      <w:r>
        <w:lastRenderedPageBreak/>
        <w:t>Procedure</w:t>
      </w:r>
    </w:p>
    <w:p w:rsidR="00E10A58" w:rsidRDefault="00E10A58" w:rsidP="00EF7BE8">
      <w:pPr>
        <w:pStyle w:val="Heading2"/>
        <w:numPr>
          <w:ilvl w:val="1"/>
          <w:numId w:val="22"/>
        </w:numPr>
      </w:pPr>
      <w:r>
        <w:t>Summary of Victim Bill of Rights [55.1.1]</w:t>
      </w:r>
    </w:p>
    <w:p w:rsidR="00E10A58" w:rsidRPr="00937D39" w:rsidRDefault="00E10A58" w:rsidP="00EF7BE8">
      <w:pPr>
        <w:numPr>
          <w:ilvl w:val="2"/>
          <w:numId w:val="22"/>
        </w:numPr>
      </w:pPr>
      <w:r w:rsidRPr="00E75621">
        <w:rPr>
          <w:caps/>
          <w:szCs w:val="24"/>
        </w:rPr>
        <w:t>Generally</w:t>
      </w:r>
      <w:r>
        <w:rPr>
          <w:caps/>
          <w:szCs w:val="24"/>
        </w:rPr>
        <w:t xml:space="preserve">: </w:t>
      </w:r>
      <w:r>
        <w:t xml:space="preserve">In 1984, the Massachusetts Victim Bill of Rights, Massachusetts General Law, Chapter 258B, was enacted into law, creating, at that time, the most comprehensive rights for victims of crime in any state in the </w:t>
      </w:r>
      <w:smartTag w:uri="urn:schemas-microsoft-com:office:smarttags" w:element="place">
        <w:smartTag w:uri="urn:schemas-microsoft-com:office:smarttags" w:element="country-region">
          <w:r>
            <w:t>United States</w:t>
          </w:r>
        </w:smartTag>
      </w:smartTag>
      <w:r>
        <w:t>. The bill applies to victims of crimes or, if a victim is deceased, to family members. Portions of the bill apply to witnesses of crimes as well. Except where noted, the rights are provided by the prosecutor.</w:t>
      </w:r>
    </w:p>
    <w:p w:rsidR="00E10A58" w:rsidRDefault="00E10A58" w:rsidP="00EF7BE8">
      <w:pPr>
        <w:numPr>
          <w:ilvl w:val="2"/>
          <w:numId w:val="22"/>
        </w:numPr>
      </w:pPr>
      <w:r>
        <w:t>VICTIM RIGHTS: Victims of crime have the right to information and assistance regarding:</w:t>
      </w:r>
      <w:r w:rsidR="00CF4DED">
        <w:t xml:space="preserve"> [55.1.3b] </w:t>
      </w:r>
    </w:p>
    <w:p w:rsidR="00E10A58" w:rsidRPr="00BC57F3" w:rsidRDefault="00E10A58" w:rsidP="00EF7BE8">
      <w:pPr>
        <w:numPr>
          <w:ilvl w:val="3"/>
          <w:numId w:val="22"/>
        </w:numPr>
        <w:rPr>
          <w:i/>
        </w:rPr>
      </w:pPr>
      <w:r>
        <w:t xml:space="preserve">Their rights in the criminal process: </w:t>
      </w:r>
      <w:r>
        <w:rPr>
          <w:rStyle w:val="EndnoteReference"/>
        </w:rPr>
        <w:endnoteReference w:id="1"/>
      </w:r>
    </w:p>
    <w:p w:rsidR="00E10A58" w:rsidRPr="00BC57F3" w:rsidRDefault="00E10A58" w:rsidP="00EF7BE8">
      <w:pPr>
        <w:numPr>
          <w:ilvl w:val="4"/>
          <w:numId w:val="22"/>
        </w:numPr>
        <w:rPr>
          <w:i/>
        </w:rPr>
      </w:pPr>
      <w:r>
        <w:t>How a case progresses through the criminal justice system;</w:t>
      </w:r>
    </w:p>
    <w:p w:rsidR="00E10A58" w:rsidRPr="00BC57F3" w:rsidRDefault="00E10A58" w:rsidP="00E10A58">
      <w:pPr>
        <w:numPr>
          <w:ilvl w:val="4"/>
          <w:numId w:val="22"/>
        </w:numPr>
        <w:rPr>
          <w:i/>
        </w:rPr>
      </w:pPr>
      <w:r>
        <w:t>What the victim’s role is in the process;</w:t>
      </w:r>
    </w:p>
    <w:p w:rsidR="00E10A58" w:rsidRPr="00BC57F3" w:rsidRDefault="00E10A58" w:rsidP="00E10A58">
      <w:pPr>
        <w:numPr>
          <w:ilvl w:val="4"/>
          <w:numId w:val="22"/>
        </w:numPr>
        <w:rPr>
          <w:i/>
        </w:rPr>
      </w:pPr>
      <w:r>
        <w:t>What the system may expect from the victim; and</w:t>
      </w:r>
    </w:p>
    <w:p w:rsidR="00E10A58" w:rsidRDefault="00E10A58" w:rsidP="00E10A58">
      <w:pPr>
        <w:numPr>
          <w:ilvl w:val="4"/>
          <w:numId w:val="22"/>
        </w:numPr>
        <w:rPr>
          <w:i/>
        </w:rPr>
      </w:pPr>
      <w:r>
        <w:t>Why the system requires this.</w:t>
      </w:r>
    </w:p>
    <w:p w:rsidR="00E10A58" w:rsidRDefault="00E10A58" w:rsidP="00EF7BE8">
      <w:pPr>
        <w:numPr>
          <w:ilvl w:val="3"/>
          <w:numId w:val="22"/>
        </w:numPr>
      </w:pPr>
      <w:r>
        <w:t>Level of protection available and ability to receive protection from police, from harm and threats of harm, for cooperating with police and prosecution.</w:t>
      </w:r>
      <w:r>
        <w:rPr>
          <w:rStyle w:val="EndnoteReference"/>
        </w:rPr>
        <w:endnoteReference w:id="2"/>
      </w:r>
    </w:p>
    <w:p w:rsidR="00E10A58" w:rsidRDefault="00E10A58" w:rsidP="00EF7BE8">
      <w:pPr>
        <w:numPr>
          <w:ilvl w:val="3"/>
          <w:numId w:val="22"/>
        </w:numPr>
      </w:pPr>
      <w:r>
        <w:t>Right to request confidentiality in the criminal justice system from the court.</w:t>
      </w:r>
      <w:r w:rsidRPr="006F1CB9">
        <w:rPr>
          <w:vertAlign w:val="superscript"/>
        </w:rPr>
        <w:endnoteReference w:id="3"/>
      </w:r>
      <w:r w:rsidRPr="006F1CB9">
        <w:rPr>
          <w:vertAlign w:val="superscript"/>
        </w:rPr>
        <w:t xml:space="preserve"> </w:t>
      </w:r>
      <w:r w:rsidRPr="0086263C">
        <w:rPr>
          <w:b/>
        </w:rPr>
        <w:t>[55.1.3(b)]</w:t>
      </w:r>
    </w:p>
    <w:p w:rsidR="00E10A58" w:rsidRDefault="00E10A58" w:rsidP="00EF7BE8">
      <w:pPr>
        <w:numPr>
          <w:ilvl w:val="3"/>
          <w:numId w:val="22"/>
        </w:numPr>
      </w:pPr>
      <w:r>
        <w:t>Being present at all court proceedings.</w:t>
      </w:r>
      <w:r>
        <w:rPr>
          <w:rStyle w:val="EndnoteReference"/>
        </w:rPr>
        <w:endnoteReference w:id="4"/>
      </w:r>
    </w:p>
    <w:p w:rsidR="00E10A58" w:rsidRDefault="00E10A58" w:rsidP="00EF7BE8">
      <w:pPr>
        <w:numPr>
          <w:ilvl w:val="3"/>
          <w:numId w:val="22"/>
        </w:numPr>
      </w:pPr>
      <w:r>
        <w:t>Allowing one family member of a victim of homicide to possess a photo of the victim in the courtroom, with certain restrictions.</w:t>
      </w:r>
      <w:r>
        <w:rPr>
          <w:rStyle w:val="EndnoteReference"/>
        </w:rPr>
        <w:endnoteReference w:id="5"/>
      </w:r>
    </w:p>
    <w:p w:rsidR="00E10A58" w:rsidRDefault="00E10A58" w:rsidP="00EF7BE8">
      <w:pPr>
        <w:numPr>
          <w:ilvl w:val="3"/>
          <w:numId w:val="22"/>
        </w:numPr>
      </w:pPr>
      <w:r>
        <w:t>A secure waiting room, to the extent available, apart from the defendant, defendant’s friends, family, witnesses and counsel.</w:t>
      </w:r>
      <w:r>
        <w:rPr>
          <w:rStyle w:val="EndnoteReference"/>
        </w:rPr>
        <w:endnoteReference w:id="6"/>
      </w:r>
    </w:p>
    <w:p w:rsidR="00E10A58" w:rsidRDefault="00E10A58" w:rsidP="00EF7BE8">
      <w:pPr>
        <w:numPr>
          <w:ilvl w:val="3"/>
          <w:numId w:val="22"/>
        </w:numPr>
      </w:pPr>
      <w:r>
        <w:t>Timely notification of changes in the schedule of court proceedings.</w:t>
      </w:r>
      <w:r>
        <w:rPr>
          <w:rStyle w:val="EndnoteReference"/>
        </w:rPr>
        <w:endnoteReference w:id="7"/>
      </w:r>
      <w:r>
        <w:t xml:space="preserve"> </w:t>
      </w:r>
    </w:p>
    <w:p w:rsidR="00E10A58" w:rsidRDefault="00E10A58" w:rsidP="00E10A58">
      <w:pPr>
        <w:numPr>
          <w:ilvl w:val="3"/>
          <w:numId w:val="22"/>
        </w:numPr>
      </w:pPr>
      <w:r>
        <w:t>Right to confer with the prosecutor before:</w:t>
      </w:r>
      <w:r>
        <w:rPr>
          <w:rStyle w:val="EndnoteReference"/>
        </w:rPr>
        <w:endnoteReference w:id="8"/>
      </w:r>
    </w:p>
    <w:p w:rsidR="00E10A58" w:rsidRDefault="00E10A58" w:rsidP="00E10A58">
      <w:pPr>
        <w:numPr>
          <w:ilvl w:val="4"/>
          <w:numId w:val="22"/>
        </w:numPr>
      </w:pPr>
      <w:r>
        <w:t xml:space="preserve">The commencement of the trial; </w:t>
      </w:r>
    </w:p>
    <w:p w:rsidR="00E10A58" w:rsidRDefault="00E10A58" w:rsidP="00E10A58">
      <w:pPr>
        <w:numPr>
          <w:ilvl w:val="4"/>
          <w:numId w:val="22"/>
        </w:numPr>
      </w:pPr>
      <w:r>
        <w:t>Any hearing on motions by the defense to obtain psychiatric or other confidential records;</w:t>
      </w:r>
    </w:p>
    <w:p w:rsidR="00E10A58" w:rsidRDefault="00E10A58" w:rsidP="00E10A58">
      <w:pPr>
        <w:numPr>
          <w:ilvl w:val="4"/>
          <w:numId w:val="22"/>
        </w:numPr>
      </w:pPr>
      <w:r>
        <w:t>Any act by the Commonwealth terminating the prosecution; and</w:t>
      </w:r>
    </w:p>
    <w:p w:rsidR="00E10A58" w:rsidRDefault="00E10A58" w:rsidP="00E10A58">
      <w:pPr>
        <w:numPr>
          <w:ilvl w:val="4"/>
          <w:numId w:val="22"/>
        </w:numPr>
      </w:pPr>
      <w:r>
        <w:t>Submission of proposed sentence recommendations to the court.</w:t>
      </w:r>
    </w:p>
    <w:p w:rsidR="00E10A58" w:rsidRDefault="00E10A58" w:rsidP="00E10A58">
      <w:pPr>
        <w:numPr>
          <w:ilvl w:val="3"/>
          <w:numId w:val="22"/>
        </w:numPr>
      </w:pPr>
      <w:r>
        <w:lastRenderedPageBreak/>
        <w:t>Upon request, periodic appraisal of significant developments in the case.</w:t>
      </w:r>
      <w:r>
        <w:rPr>
          <w:rStyle w:val="EndnoteReference"/>
        </w:rPr>
        <w:endnoteReference w:id="9"/>
      </w:r>
    </w:p>
    <w:p w:rsidR="00E10A58" w:rsidRDefault="00E10A58" w:rsidP="00E10A58">
      <w:pPr>
        <w:numPr>
          <w:ilvl w:val="3"/>
          <w:numId w:val="22"/>
        </w:numPr>
      </w:pPr>
      <w:r>
        <w:t>Prompt disposition of the case.</w:t>
      </w:r>
      <w:r>
        <w:rPr>
          <w:rStyle w:val="EndnoteReference"/>
        </w:rPr>
        <w:endnoteReference w:id="10"/>
      </w:r>
    </w:p>
    <w:p w:rsidR="00E10A58" w:rsidRDefault="00E10A58" w:rsidP="00E10A58">
      <w:pPr>
        <w:numPr>
          <w:ilvl w:val="3"/>
          <w:numId w:val="22"/>
        </w:numPr>
        <w:rPr>
          <w:i/>
        </w:rPr>
      </w:pPr>
      <w:r>
        <w:t>Conferring with the probation officer prior to the filing of a full pre-sentence report.</w:t>
      </w:r>
      <w:r>
        <w:rPr>
          <w:rStyle w:val="EndnoteReference"/>
        </w:rPr>
        <w:endnoteReference w:id="11"/>
      </w:r>
    </w:p>
    <w:p w:rsidR="00E10A58" w:rsidRDefault="00E10A58" w:rsidP="00E10A58">
      <w:pPr>
        <w:numPr>
          <w:ilvl w:val="3"/>
          <w:numId w:val="22"/>
        </w:numPr>
      </w:pPr>
      <w:r>
        <w:t>Victim Impact Statement: the opportunity to inform the court, orally or in writing, of the impact of the crime.</w:t>
      </w:r>
      <w:r>
        <w:rPr>
          <w:rStyle w:val="EndnoteReference"/>
        </w:rPr>
        <w:endnoteReference w:id="12"/>
      </w:r>
      <w:r>
        <w:t xml:space="preserve"> </w:t>
      </w:r>
    </w:p>
    <w:p w:rsidR="00E10A58" w:rsidRDefault="00E10A58" w:rsidP="00E10A58">
      <w:pPr>
        <w:numPr>
          <w:ilvl w:val="3"/>
          <w:numId w:val="22"/>
        </w:numPr>
      </w:pPr>
      <w:r>
        <w:t>Being informed of the final disposition of the case, conditions of probation and contact information for the probation officer, if any, assigned to the defendant.</w:t>
      </w:r>
      <w:r>
        <w:rPr>
          <w:rStyle w:val="EndnoteReference"/>
        </w:rPr>
        <w:endnoteReference w:id="13"/>
      </w:r>
    </w:p>
    <w:p w:rsidR="00E10A58" w:rsidRDefault="00E10A58" w:rsidP="00E10A58">
      <w:pPr>
        <w:numPr>
          <w:ilvl w:val="3"/>
          <w:numId w:val="22"/>
        </w:numPr>
        <w:rPr>
          <w:i/>
        </w:rPr>
      </w:pPr>
      <w:r>
        <w:t>Being informed regarding the defendant’s parole eligibility and status in the criminal justice system.</w:t>
      </w:r>
      <w:r>
        <w:rPr>
          <w:rStyle w:val="EndnoteReference"/>
        </w:rPr>
        <w:endnoteReference w:id="14"/>
      </w:r>
      <w:r>
        <w:t xml:space="preserve"> </w:t>
      </w:r>
    </w:p>
    <w:p w:rsidR="00E10A58" w:rsidRDefault="00E10A58" w:rsidP="00E10A58">
      <w:pPr>
        <w:numPr>
          <w:ilvl w:val="3"/>
          <w:numId w:val="22"/>
        </w:numPr>
      </w:pPr>
      <w:r>
        <w:t>Notification rights and certification process to obtain, from the custodial facility, prior notice of release from custody, movement to a less secure facility, or prompt notification of escape.</w:t>
      </w:r>
      <w:r>
        <w:rPr>
          <w:rStyle w:val="EndnoteReference"/>
        </w:rPr>
        <w:endnoteReference w:id="15"/>
      </w:r>
    </w:p>
    <w:p w:rsidR="00E10A58" w:rsidRDefault="00E10A58" w:rsidP="00E10A58">
      <w:pPr>
        <w:numPr>
          <w:ilvl w:val="3"/>
          <w:numId w:val="22"/>
        </w:numPr>
      </w:pPr>
      <w:r>
        <w:t>Victim of Violent Crime Compensation.</w:t>
      </w:r>
      <w:r>
        <w:rPr>
          <w:rStyle w:val="EndnoteReference"/>
        </w:rPr>
        <w:endnoteReference w:id="16"/>
      </w:r>
    </w:p>
    <w:p w:rsidR="00E10A58" w:rsidRDefault="00E10A58" w:rsidP="00E10A58">
      <w:pPr>
        <w:numPr>
          <w:ilvl w:val="3"/>
          <w:numId w:val="22"/>
        </w:numPr>
        <w:rPr>
          <w:i/>
        </w:rPr>
      </w:pPr>
      <w:r>
        <w:t>Financial Assistance and other social services, and how to apply for them.</w:t>
      </w:r>
      <w:r>
        <w:rPr>
          <w:rStyle w:val="EndnoteReference"/>
        </w:rPr>
        <w:endnoteReference w:id="17"/>
      </w:r>
    </w:p>
    <w:p w:rsidR="00E10A58" w:rsidRDefault="00E10A58" w:rsidP="00E10A58">
      <w:pPr>
        <w:numPr>
          <w:ilvl w:val="3"/>
          <w:numId w:val="22"/>
        </w:numPr>
      </w:pPr>
      <w:r>
        <w:t>Restitution, documenting the loss and a payment schedule from the Probation Department.</w:t>
      </w:r>
      <w:r>
        <w:rPr>
          <w:rStyle w:val="EndnoteReference"/>
        </w:rPr>
        <w:endnoteReference w:id="18"/>
      </w:r>
    </w:p>
    <w:p w:rsidR="00E10A58" w:rsidRDefault="00E10A58" w:rsidP="00E10A58">
      <w:pPr>
        <w:numPr>
          <w:ilvl w:val="3"/>
          <w:numId w:val="22"/>
        </w:numPr>
        <w:rPr>
          <w:i/>
        </w:rPr>
      </w:pPr>
      <w:r>
        <w:t>Right to pursue a civil action.</w:t>
      </w:r>
      <w:r>
        <w:rPr>
          <w:rStyle w:val="EndnoteReference"/>
        </w:rPr>
        <w:endnoteReference w:id="19"/>
      </w:r>
    </w:p>
    <w:p w:rsidR="00E10A58" w:rsidRDefault="00E10A58" w:rsidP="00E10A58">
      <w:pPr>
        <w:numPr>
          <w:ilvl w:val="3"/>
          <w:numId w:val="22"/>
        </w:numPr>
      </w:pPr>
      <w:r>
        <w:t>Freedom from employer sanctions for being absent from work to testify after receiving a subpoena.</w:t>
      </w:r>
      <w:r>
        <w:rPr>
          <w:rStyle w:val="EndnoteReference"/>
        </w:rPr>
        <w:endnoteReference w:id="20"/>
      </w:r>
    </w:p>
    <w:p w:rsidR="00E10A58" w:rsidRDefault="00E10A58" w:rsidP="00E10A58">
      <w:pPr>
        <w:numPr>
          <w:ilvl w:val="3"/>
          <w:numId w:val="22"/>
        </w:numPr>
      </w:pPr>
      <w:r>
        <w:t>Witness fees.</w:t>
      </w:r>
      <w:r>
        <w:rPr>
          <w:rStyle w:val="EndnoteReference"/>
        </w:rPr>
        <w:endnoteReference w:id="21"/>
      </w:r>
    </w:p>
    <w:p w:rsidR="00E10A58" w:rsidRDefault="00E10A58" w:rsidP="00E10A58">
      <w:pPr>
        <w:numPr>
          <w:ilvl w:val="3"/>
          <w:numId w:val="22"/>
        </w:numPr>
        <w:rPr>
          <w:i/>
        </w:rPr>
      </w:pPr>
      <w:r>
        <w:t>Employer and creditor intercession services.</w:t>
      </w:r>
      <w:r>
        <w:rPr>
          <w:rStyle w:val="EndnoteReference"/>
        </w:rPr>
        <w:endnoteReference w:id="22"/>
      </w:r>
      <w:r>
        <w:t xml:space="preserve"> </w:t>
      </w:r>
    </w:p>
    <w:p w:rsidR="00E10A58" w:rsidRDefault="00E10A58" w:rsidP="00E10A58">
      <w:pPr>
        <w:numPr>
          <w:ilvl w:val="3"/>
          <w:numId w:val="22"/>
        </w:numPr>
      </w:pPr>
      <w:r>
        <w:t xml:space="preserve">Prompt return of property from the court, prosecutor or police, within ten days, if not contraband, or evidence for prosecution. </w:t>
      </w:r>
      <w:r>
        <w:rPr>
          <w:rStyle w:val="EndnoteReference"/>
        </w:rPr>
        <w:endnoteReference w:id="23"/>
      </w:r>
    </w:p>
    <w:p w:rsidR="00E10A58" w:rsidRDefault="00E10A58" w:rsidP="00E10A58">
      <w:pPr>
        <w:numPr>
          <w:ilvl w:val="2"/>
          <w:numId w:val="22"/>
        </w:numPr>
      </w:pPr>
      <w:r>
        <w:t>WITNESS RIGHTS: Witnesses of crimes have the following rights pursuant to General Law Chapter 258B:</w:t>
      </w:r>
    </w:p>
    <w:p w:rsidR="00E10A58" w:rsidRDefault="00E10A58" w:rsidP="00E10A58">
      <w:pPr>
        <w:numPr>
          <w:ilvl w:val="3"/>
          <w:numId w:val="22"/>
        </w:numPr>
      </w:pPr>
      <w:r>
        <w:t>Timely notification of changes in the schedule of court proceedings.</w:t>
      </w:r>
      <w:r>
        <w:rPr>
          <w:rStyle w:val="EndnoteReference"/>
        </w:rPr>
        <w:endnoteReference w:id="24"/>
      </w:r>
      <w:r>
        <w:t xml:space="preserve"> </w:t>
      </w:r>
    </w:p>
    <w:p w:rsidR="00E10A58" w:rsidRDefault="00E10A58" w:rsidP="00E10A58">
      <w:pPr>
        <w:numPr>
          <w:ilvl w:val="3"/>
          <w:numId w:val="22"/>
        </w:numPr>
      </w:pPr>
      <w:r>
        <w:t>Prompt disposition of the case.</w:t>
      </w:r>
      <w:r>
        <w:rPr>
          <w:rStyle w:val="EndnoteReference"/>
        </w:rPr>
        <w:endnoteReference w:id="25"/>
      </w:r>
    </w:p>
    <w:p w:rsidR="00E10A58" w:rsidRDefault="00E10A58" w:rsidP="00E10A58">
      <w:pPr>
        <w:numPr>
          <w:ilvl w:val="3"/>
          <w:numId w:val="22"/>
        </w:numPr>
      </w:pPr>
      <w:r>
        <w:t>To be free from employer sanctions for being absent from work to testify after receiving a subpoena.</w:t>
      </w:r>
      <w:r>
        <w:rPr>
          <w:rStyle w:val="EndnoteReference"/>
        </w:rPr>
        <w:endnoteReference w:id="26"/>
      </w:r>
    </w:p>
    <w:p w:rsidR="00E10A58" w:rsidRDefault="00E10A58" w:rsidP="00E10A58">
      <w:pPr>
        <w:numPr>
          <w:ilvl w:val="3"/>
          <w:numId w:val="22"/>
        </w:numPr>
      </w:pPr>
      <w:r>
        <w:t>Information and assistance regarding:</w:t>
      </w:r>
    </w:p>
    <w:p w:rsidR="00E10A58" w:rsidRDefault="00E10A58" w:rsidP="00E10A58">
      <w:pPr>
        <w:numPr>
          <w:ilvl w:val="4"/>
          <w:numId w:val="22"/>
        </w:numPr>
      </w:pPr>
      <w:r>
        <w:lastRenderedPageBreak/>
        <w:t>Level of protection available and ability to receive protection from police, from harm and threats of harm, for cooperating with police and prosecution.</w:t>
      </w:r>
      <w:r>
        <w:rPr>
          <w:rStyle w:val="EndnoteReference"/>
        </w:rPr>
        <w:endnoteReference w:id="27"/>
      </w:r>
    </w:p>
    <w:p w:rsidR="00E10A58" w:rsidRPr="00C021C2" w:rsidRDefault="00E10A58" w:rsidP="00EF7BE8">
      <w:pPr>
        <w:numPr>
          <w:ilvl w:val="4"/>
          <w:numId w:val="22"/>
        </w:numPr>
        <w:rPr>
          <w:b/>
        </w:rPr>
      </w:pPr>
      <w:r>
        <w:t>Right to request confidentiality in the criminal justice system from the court.</w:t>
      </w:r>
      <w:r>
        <w:rPr>
          <w:rStyle w:val="EndnoteReference"/>
        </w:rPr>
        <w:endnoteReference w:id="28"/>
      </w:r>
      <w:r w:rsidRPr="005D74B3">
        <w:t xml:space="preserve"> </w:t>
      </w:r>
      <w:r w:rsidRPr="00C021C2">
        <w:rPr>
          <w:b/>
        </w:rPr>
        <w:t>[55.1.3(b)]</w:t>
      </w:r>
    </w:p>
    <w:p w:rsidR="00E10A58" w:rsidRDefault="00E10A58" w:rsidP="00EF7BE8">
      <w:pPr>
        <w:numPr>
          <w:ilvl w:val="3"/>
          <w:numId w:val="22"/>
        </w:numPr>
      </w:pPr>
      <w:r>
        <w:t>A secure waiting room, to the extent available, apart from the defendant, defendant’s friends, family, witnesses and counsel.</w:t>
      </w:r>
      <w:r>
        <w:rPr>
          <w:rStyle w:val="EndnoteReference"/>
        </w:rPr>
        <w:endnoteReference w:id="29"/>
      </w:r>
    </w:p>
    <w:p w:rsidR="00E10A58" w:rsidRDefault="00E10A58" w:rsidP="00E10A58">
      <w:pPr>
        <w:numPr>
          <w:ilvl w:val="3"/>
          <w:numId w:val="22"/>
        </w:numPr>
      </w:pPr>
      <w:r>
        <w:t>Witness fees.</w:t>
      </w:r>
      <w:r>
        <w:rPr>
          <w:rStyle w:val="EndnoteReference"/>
        </w:rPr>
        <w:endnoteReference w:id="30"/>
      </w:r>
    </w:p>
    <w:p w:rsidR="00E10A58" w:rsidRDefault="00E10A58" w:rsidP="00E10A58">
      <w:pPr>
        <w:numPr>
          <w:ilvl w:val="3"/>
          <w:numId w:val="22"/>
        </w:numPr>
        <w:rPr>
          <w:i/>
        </w:rPr>
      </w:pPr>
      <w:r>
        <w:t>Employer and creditor intercession services.</w:t>
      </w:r>
      <w:r>
        <w:rPr>
          <w:rStyle w:val="EndnoteReference"/>
        </w:rPr>
        <w:endnoteReference w:id="31"/>
      </w:r>
      <w:r>
        <w:t xml:space="preserve"> </w:t>
      </w:r>
    </w:p>
    <w:p w:rsidR="00E10A58" w:rsidRDefault="00E10A58" w:rsidP="00E10A58">
      <w:pPr>
        <w:numPr>
          <w:ilvl w:val="3"/>
          <w:numId w:val="22"/>
        </w:numPr>
      </w:pPr>
      <w:r>
        <w:t xml:space="preserve"> Submitting or declining an interview with defense counsel, except when responding to lawful process.</w:t>
      </w:r>
      <w:r>
        <w:rPr>
          <w:rStyle w:val="EndnoteReference"/>
        </w:rPr>
        <w:endnoteReference w:id="32"/>
      </w:r>
    </w:p>
    <w:p w:rsidR="00E10A58" w:rsidRDefault="00E10A58" w:rsidP="00E10A58">
      <w:pPr>
        <w:pStyle w:val="Heading2"/>
        <w:numPr>
          <w:ilvl w:val="1"/>
          <w:numId w:val="22"/>
        </w:numPr>
      </w:pPr>
      <w:r>
        <w:t>Police Department Role [55.1.3(a)]</w:t>
      </w:r>
      <w:r>
        <w:fldChar w:fldCharType="begin"/>
      </w:r>
      <w:r>
        <w:instrText>XE "COURT OFFICER"</w:instrText>
      </w:r>
      <w:r>
        <w:fldChar w:fldCharType="end"/>
      </w:r>
    </w:p>
    <w:p w:rsidR="00E10A58" w:rsidRDefault="00E10A58" w:rsidP="00EF7BE8">
      <w:pPr>
        <w:numPr>
          <w:ilvl w:val="2"/>
          <w:numId w:val="22"/>
        </w:numPr>
      </w:pPr>
      <w:r>
        <w:t xml:space="preserve">POLICE LIAISON: It shall be the responsibility of the </w:t>
      </w:r>
      <w:r w:rsidR="00C021C2">
        <w:t>Chief of Police</w:t>
      </w:r>
      <w:r>
        <w:t xml:space="preserve"> to:</w:t>
      </w:r>
    </w:p>
    <w:p w:rsidR="00E10A58" w:rsidRPr="000834CF" w:rsidRDefault="00E10A58" w:rsidP="00EF7BE8">
      <w:pPr>
        <w:numPr>
          <w:ilvl w:val="3"/>
          <w:numId w:val="22"/>
        </w:numPr>
        <w:rPr>
          <w:i/>
        </w:rPr>
      </w:pPr>
      <w:r w:rsidRPr="000834CF">
        <w:t>Act as liaison between the police department and the victims and witnesses of crime, as well as the District Attorney's Office, regarding victim and witness rights</w:t>
      </w:r>
      <w:r>
        <w:t>;</w:t>
      </w:r>
    </w:p>
    <w:p w:rsidR="00E10A58" w:rsidRDefault="00E10A58" w:rsidP="00E10A58">
      <w:pPr>
        <w:numPr>
          <w:ilvl w:val="3"/>
          <w:numId w:val="22"/>
        </w:numPr>
      </w:pPr>
      <w:r>
        <w:t>Administer and coordinate the role of the police department in victim and witness assistance services;</w:t>
      </w:r>
    </w:p>
    <w:p w:rsidR="00E10A58" w:rsidRPr="00C021C2" w:rsidRDefault="00E10A58" w:rsidP="00E10A58">
      <w:pPr>
        <w:numPr>
          <w:ilvl w:val="3"/>
          <w:numId w:val="22"/>
        </w:numPr>
        <w:rPr>
          <w:b/>
        </w:rPr>
      </w:pPr>
      <w:r>
        <w:t xml:space="preserve">Ensure that records and files of victims and witnesses are held in confidential files, subject to release only under the requirements of Massachusetts Public Records Law – Chapter 4, Section 7(26); and </w:t>
      </w:r>
      <w:r w:rsidRPr="00C021C2">
        <w:rPr>
          <w:b/>
          <w:i/>
        </w:rPr>
        <w:t>[55.1.3(b)]</w:t>
      </w:r>
    </w:p>
    <w:p w:rsidR="00E10A58" w:rsidRPr="002069C1" w:rsidRDefault="00E10A58" w:rsidP="00E10A58">
      <w:pPr>
        <w:numPr>
          <w:ilvl w:val="3"/>
          <w:numId w:val="22"/>
        </w:numPr>
      </w:pPr>
      <w:r>
        <w:t>Advise the prosecutor of the need to have a victim/witness advocate from the Victim/Witn</w:t>
      </w:r>
      <w:r w:rsidR="00936A84">
        <w:t xml:space="preserve">ess Service Bureau of the </w:t>
      </w:r>
      <w:r>
        <w:t>District Attorney's office assigned to the case and to maintain contact with the court advocate during the course of events which follow.</w:t>
      </w:r>
    </w:p>
    <w:p w:rsidR="00E10A58" w:rsidRPr="00C021C2" w:rsidRDefault="00E10A58" w:rsidP="00E10A58">
      <w:pPr>
        <w:pStyle w:val="Heading4"/>
        <w:numPr>
          <w:ilvl w:val="2"/>
          <w:numId w:val="22"/>
        </w:numPr>
        <w:rPr>
          <w:b/>
        </w:rPr>
      </w:pPr>
      <w:r>
        <w:t xml:space="preserve">SERVICES PROVIDED </w:t>
      </w:r>
      <w:r w:rsidRPr="00C021C2">
        <w:rPr>
          <w:b/>
        </w:rPr>
        <w:t>[55.2.1(</w:t>
      </w:r>
      <w:r w:rsidRPr="00AC6D6E">
        <w:rPr>
          <w:b/>
          <w:caps w:val="0"/>
        </w:rPr>
        <w:t>a</w:t>
      </w:r>
      <w:r w:rsidRPr="00C021C2">
        <w:rPr>
          <w:b/>
        </w:rPr>
        <w:t>)]</w:t>
      </w:r>
      <w:r w:rsidR="00516656">
        <w:rPr>
          <w:b/>
        </w:rPr>
        <w:t xml:space="preserve"> [55.1.3(</w:t>
      </w:r>
      <w:r w:rsidR="00516656" w:rsidRPr="00AC6D6E">
        <w:rPr>
          <w:b/>
          <w:caps w:val="0"/>
        </w:rPr>
        <w:t>a</w:t>
      </w:r>
      <w:r w:rsidR="00516656">
        <w:rPr>
          <w:b/>
        </w:rPr>
        <w:t>)</w:t>
      </w:r>
      <w:r w:rsidR="00AB4967">
        <w:rPr>
          <w:b/>
        </w:rPr>
        <w:t>]</w:t>
      </w:r>
      <w:r w:rsidR="00516656">
        <w:rPr>
          <w:b/>
        </w:rPr>
        <w:t xml:space="preserve"> </w:t>
      </w:r>
    </w:p>
    <w:p w:rsidR="00E10A58" w:rsidRDefault="00E10A58" w:rsidP="00E10A58">
      <w:pPr>
        <w:numPr>
          <w:ilvl w:val="3"/>
          <w:numId w:val="22"/>
        </w:numPr>
      </w:pPr>
      <w:r>
        <w:t>24 Hour Access to Victim/Witness Services</w:t>
      </w:r>
    </w:p>
    <w:p w:rsidR="00E10A58" w:rsidRPr="00C021C2" w:rsidRDefault="00E10A58" w:rsidP="00E10A58">
      <w:pPr>
        <w:numPr>
          <w:ilvl w:val="4"/>
          <w:numId w:val="22"/>
        </w:numPr>
        <w:rPr>
          <w:b/>
        </w:rPr>
      </w:pPr>
      <w:r>
        <w:t xml:space="preserve">A victim or witness of a crime may call the police department dispatcher at any time for twenty-four hour information/referral purposes.  </w:t>
      </w:r>
      <w:r w:rsidRPr="00C021C2">
        <w:rPr>
          <w:b/>
        </w:rPr>
        <w:t>[55.2.1</w:t>
      </w:r>
      <w:r w:rsidR="00CF4DED">
        <w:rPr>
          <w:b/>
        </w:rPr>
        <w:t xml:space="preserve"> (a)</w:t>
      </w:r>
      <w:r w:rsidRPr="00C021C2">
        <w:rPr>
          <w:b/>
        </w:rPr>
        <w:t>]</w:t>
      </w:r>
    </w:p>
    <w:p w:rsidR="00E10A58" w:rsidRPr="009A5146" w:rsidRDefault="00E10A58" w:rsidP="00E10A58">
      <w:pPr>
        <w:numPr>
          <w:ilvl w:val="4"/>
          <w:numId w:val="22"/>
        </w:numPr>
        <w:rPr>
          <w:b/>
        </w:rPr>
      </w:pPr>
      <w:r>
        <w:t xml:space="preserve">When the dispatcher is contacted by a victim or witness for assistance or services beyond the scope of those the police provide, [s]he shall refer to the </w:t>
      </w:r>
      <w:r w:rsidR="00A64212">
        <w:t>Resource Manual</w:t>
      </w:r>
      <w:r>
        <w:t xml:space="preserve"> located in the dispatch area to provide the name and telephone number of agencies within the county or regional service area that can provide the needed service. </w:t>
      </w:r>
      <w:r w:rsidRPr="000A12EA">
        <w:t xml:space="preserve"> </w:t>
      </w:r>
      <w:r w:rsidRPr="00C021C2">
        <w:rPr>
          <w:b/>
        </w:rPr>
        <w:t>[55.2.1</w:t>
      </w:r>
      <w:r w:rsidR="00CF4DED">
        <w:rPr>
          <w:b/>
        </w:rPr>
        <w:t>(b)</w:t>
      </w:r>
      <w:r w:rsidRPr="00C021C2">
        <w:rPr>
          <w:b/>
        </w:rPr>
        <w:t>]</w:t>
      </w:r>
      <w:r w:rsidR="00A64212">
        <w:rPr>
          <w:b/>
        </w:rPr>
        <w:t xml:space="preserve"> </w:t>
      </w:r>
      <w:r w:rsidR="00A64212" w:rsidRPr="009A5146">
        <w:rPr>
          <w:b/>
        </w:rPr>
        <w:t xml:space="preserve">Also, the person is to be </w:t>
      </w:r>
      <w:r w:rsidR="009A5146" w:rsidRPr="009A5146">
        <w:rPr>
          <w:b/>
        </w:rPr>
        <w:t>given a Victim Information P</w:t>
      </w:r>
      <w:r w:rsidR="00A64212" w:rsidRPr="009A5146">
        <w:rPr>
          <w:b/>
        </w:rPr>
        <w:t>acket from</w:t>
      </w:r>
      <w:r w:rsidR="009A5146" w:rsidRPr="009A5146">
        <w:rPr>
          <w:b/>
        </w:rPr>
        <w:t xml:space="preserve"> the Booking A</w:t>
      </w:r>
      <w:r w:rsidR="00A64212" w:rsidRPr="009A5146">
        <w:rPr>
          <w:b/>
        </w:rPr>
        <w:t xml:space="preserve">rea. </w:t>
      </w:r>
    </w:p>
    <w:p w:rsidR="00E10A58" w:rsidRDefault="00E10A58" w:rsidP="00E10A58">
      <w:pPr>
        <w:numPr>
          <w:ilvl w:val="4"/>
          <w:numId w:val="22"/>
        </w:numPr>
      </w:pPr>
      <w:r>
        <w:lastRenderedPageBreak/>
        <w:t xml:space="preserve">For incidents involving domestic violence, see the department policy on </w:t>
      </w:r>
      <w:r>
        <w:rPr>
          <w:b/>
          <w:i/>
        </w:rPr>
        <w:t>Domestic Violence</w:t>
      </w:r>
      <w:r>
        <w:rPr>
          <w:b/>
          <w:i/>
        </w:rPr>
        <w:fldChar w:fldCharType="begin"/>
      </w:r>
      <w:r>
        <w:rPr>
          <w:b/>
          <w:i/>
        </w:rPr>
        <w:instrText>XE "Domestic Violence"</w:instrText>
      </w:r>
      <w:r>
        <w:rPr>
          <w:b/>
          <w:i/>
        </w:rPr>
        <w:fldChar w:fldCharType="end"/>
      </w:r>
      <w:r>
        <w:t>.</w:t>
      </w:r>
    </w:p>
    <w:p w:rsidR="00E10A58" w:rsidRPr="00C021C2" w:rsidRDefault="00E10A58" w:rsidP="00E10A58">
      <w:pPr>
        <w:numPr>
          <w:ilvl w:val="3"/>
          <w:numId w:val="22"/>
        </w:numPr>
        <w:rPr>
          <w:b/>
        </w:rPr>
      </w:pPr>
      <w:r>
        <w:t xml:space="preserve">Status </w:t>
      </w:r>
      <w:r w:rsidR="00E73B2D">
        <w:t>of Suspect/Arrestee.: O</w:t>
      </w:r>
      <w:r>
        <w:t xml:space="preserve">fficers who arrest a suspect for the commission of the crime shall notify the victim or witnesses on the following: </w:t>
      </w:r>
      <w:r w:rsidRPr="00C021C2">
        <w:rPr>
          <w:b/>
        </w:rPr>
        <w:t>[55.2.5]</w:t>
      </w:r>
    </w:p>
    <w:p w:rsidR="00E10A58" w:rsidRDefault="00E10A58" w:rsidP="00E10A58">
      <w:pPr>
        <w:numPr>
          <w:ilvl w:val="4"/>
          <w:numId w:val="22"/>
        </w:numPr>
      </w:pPr>
      <w:r>
        <w:t xml:space="preserve">An arrest being made; </w:t>
      </w:r>
    </w:p>
    <w:p w:rsidR="00E10A58" w:rsidRDefault="00E10A58" w:rsidP="00E10A58">
      <w:pPr>
        <w:numPr>
          <w:ilvl w:val="4"/>
          <w:numId w:val="22"/>
        </w:numPr>
      </w:pPr>
      <w:r>
        <w:t>The charges being brought against the arrestee; and</w:t>
      </w:r>
    </w:p>
    <w:p w:rsidR="00E10A58" w:rsidRDefault="00E10A58" w:rsidP="00E10A58">
      <w:pPr>
        <w:numPr>
          <w:ilvl w:val="4"/>
          <w:numId w:val="22"/>
        </w:numPr>
      </w:pPr>
      <w:r>
        <w:t>The arrestee's status (out on bail or incarcerated).</w:t>
      </w:r>
    </w:p>
    <w:p w:rsidR="00E10A58" w:rsidRDefault="00E10A58" w:rsidP="00E10A58">
      <w:pPr>
        <w:numPr>
          <w:ilvl w:val="4"/>
          <w:numId w:val="22"/>
        </w:numPr>
      </w:pPr>
      <w:r>
        <w:t>Should the arrestee's status change, the involved officers should keep the victim or witness informed of such a change.</w:t>
      </w:r>
    </w:p>
    <w:p w:rsidR="00E10A58" w:rsidRDefault="00E10A58" w:rsidP="00E10A58">
      <w:pPr>
        <w:numPr>
          <w:ilvl w:val="3"/>
          <w:numId w:val="22"/>
        </w:numPr>
      </w:pPr>
      <w:r>
        <w:t>Preliminary Investigations</w:t>
      </w:r>
      <w:r w:rsidR="00CF4DED">
        <w:t xml:space="preserve"> </w:t>
      </w:r>
      <w:r w:rsidR="00CF4DED" w:rsidRPr="00005452">
        <w:rPr>
          <w:b/>
        </w:rPr>
        <w:t>[55.2.3]</w:t>
      </w:r>
    </w:p>
    <w:p w:rsidR="00E10A58" w:rsidRDefault="00CF4DED" w:rsidP="00547D5C">
      <w:pPr>
        <w:numPr>
          <w:ilvl w:val="4"/>
          <w:numId w:val="22"/>
        </w:numPr>
      </w:pPr>
      <w:r>
        <w:t>The nature of the contact between police officers and a victim/witness during the preliminary investigation may be critical in determining the victim/witness’ cooperation, or lack thereof, in the course of an investigation and prosecution. For this reason, officers conducting preliminary investigations shall provide the following services</w:t>
      </w:r>
      <w:r w:rsidR="00E10A58">
        <w:t>:</w:t>
      </w:r>
    </w:p>
    <w:p w:rsidR="00E10A58" w:rsidRPr="00C021C2" w:rsidRDefault="00E10A58" w:rsidP="00E10A58">
      <w:pPr>
        <w:numPr>
          <w:ilvl w:val="5"/>
          <w:numId w:val="22"/>
        </w:numPr>
        <w:rPr>
          <w:b/>
        </w:rPr>
      </w:pPr>
      <w:r>
        <w:t xml:space="preserve">Provide information to victim/witness regarding services available through the police department, such as medical attention and referrals for counseling. </w:t>
      </w:r>
      <w:r w:rsidRPr="00C021C2">
        <w:rPr>
          <w:b/>
        </w:rPr>
        <w:t>[55.2.3(a)]</w:t>
      </w:r>
    </w:p>
    <w:p w:rsidR="00E10A58" w:rsidRPr="00C021C2" w:rsidRDefault="00E10A58" w:rsidP="00E10A58">
      <w:pPr>
        <w:numPr>
          <w:ilvl w:val="5"/>
          <w:numId w:val="22"/>
        </w:numPr>
        <w:rPr>
          <w:b/>
        </w:rPr>
      </w:pPr>
      <w:r>
        <w:t xml:space="preserve">Advise that additional resources are available through the District Attorney’s Office, such as victim advocacy and financial assistance. </w:t>
      </w:r>
      <w:r w:rsidRPr="00C021C2">
        <w:rPr>
          <w:b/>
        </w:rPr>
        <w:t>[55.2.3(a)]</w:t>
      </w:r>
    </w:p>
    <w:p w:rsidR="00E10A58" w:rsidRPr="00C021C2" w:rsidRDefault="00E10A58" w:rsidP="00E10A58">
      <w:pPr>
        <w:numPr>
          <w:ilvl w:val="5"/>
          <w:numId w:val="22"/>
        </w:numPr>
        <w:rPr>
          <w:b/>
        </w:rPr>
      </w:pPr>
      <w:r>
        <w:t xml:space="preserve">Advise the victim/witness on procedures to follow should the suspect, companions of suspect, or family of suspect, </w:t>
      </w:r>
      <w:r w:rsidR="00CF4DED">
        <w:t xml:space="preserve">threaten or </w:t>
      </w:r>
      <w:r>
        <w:t xml:space="preserve">intimidate the victim/witness. </w:t>
      </w:r>
      <w:r w:rsidRPr="00C021C2">
        <w:rPr>
          <w:b/>
        </w:rPr>
        <w:t>[55.2.3(b)]</w:t>
      </w:r>
    </w:p>
    <w:p w:rsidR="00E10A58" w:rsidRDefault="00E10A58" w:rsidP="00E10A58">
      <w:pPr>
        <w:numPr>
          <w:ilvl w:val="5"/>
          <w:numId w:val="22"/>
        </w:numPr>
      </w:pPr>
      <w:r>
        <w:t xml:space="preserve">Inform victim/witness of the case number assigned to the complaint and the steps that will follow the preliminary investigation. </w:t>
      </w:r>
      <w:r w:rsidRPr="00C021C2">
        <w:rPr>
          <w:b/>
        </w:rPr>
        <w:t>[55.2.3(c)]</w:t>
      </w:r>
    </w:p>
    <w:p w:rsidR="00E10A58" w:rsidRPr="005C118E" w:rsidRDefault="00E10A58" w:rsidP="00E10A58">
      <w:pPr>
        <w:numPr>
          <w:ilvl w:val="5"/>
          <w:numId w:val="22"/>
        </w:numPr>
      </w:pPr>
      <w:r>
        <w:t xml:space="preserve">Provide victim/witness with a business card or telephone number to call should the victim or witness have additional information to report or wish to check on the status of the investigation. </w:t>
      </w:r>
      <w:r w:rsidRPr="00C021C2">
        <w:rPr>
          <w:b/>
        </w:rPr>
        <w:t>[55.2.3(d)]</w:t>
      </w:r>
    </w:p>
    <w:p w:rsidR="005C118E" w:rsidRPr="00A64212" w:rsidRDefault="00A64212" w:rsidP="00E10A58">
      <w:pPr>
        <w:numPr>
          <w:ilvl w:val="5"/>
          <w:numId w:val="22"/>
        </w:numPr>
        <w:rPr>
          <w:b/>
        </w:rPr>
      </w:pPr>
      <w:r w:rsidRPr="00A64212">
        <w:rPr>
          <w:b/>
        </w:rPr>
        <w:t>The Booking Area has</w:t>
      </w:r>
      <w:r w:rsidR="009A5146">
        <w:rPr>
          <w:b/>
        </w:rPr>
        <w:t xml:space="preserve"> V</w:t>
      </w:r>
      <w:r w:rsidRPr="00A64212">
        <w:rPr>
          <w:b/>
        </w:rPr>
        <w:t xml:space="preserve">ictim </w:t>
      </w:r>
      <w:r w:rsidR="009A5146">
        <w:rPr>
          <w:b/>
        </w:rPr>
        <w:t>I</w:t>
      </w:r>
      <w:r w:rsidR="005C118E" w:rsidRPr="00A64212">
        <w:rPr>
          <w:b/>
        </w:rPr>
        <w:t xml:space="preserve">nformation </w:t>
      </w:r>
      <w:r w:rsidR="009A5146">
        <w:rPr>
          <w:b/>
        </w:rPr>
        <w:t>P</w:t>
      </w:r>
      <w:r w:rsidRPr="00A64212">
        <w:rPr>
          <w:b/>
        </w:rPr>
        <w:t>ackets that shall</w:t>
      </w:r>
      <w:r w:rsidR="005C118E" w:rsidRPr="00A64212">
        <w:rPr>
          <w:b/>
        </w:rPr>
        <w:t xml:space="preserve"> be given to victims of any crime. </w:t>
      </w:r>
    </w:p>
    <w:p w:rsidR="00E10A58" w:rsidRDefault="00E10A58" w:rsidP="00E10A58">
      <w:pPr>
        <w:numPr>
          <w:ilvl w:val="4"/>
          <w:numId w:val="22"/>
        </w:numPr>
      </w:pPr>
      <w:r>
        <w:t>Officers assigned to domestic violence cases shall give the victim a copy of the notice of domestic violence rights form</w:t>
      </w:r>
      <w:r w:rsidR="00CF4DED">
        <w:t xml:space="preserve"> and read such rights to the victim</w:t>
      </w:r>
      <w:r>
        <w:t>. The rights shall be provided in the victim’s native language whenever possible.</w:t>
      </w:r>
      <w:r>
        <w:rPr>
          <w:rStyle w:val="EndnoteReference"/>
        </w:rPr>
        <w:endnoteReference w:id="33"/>
      </w:r>
      <w:r w:rsidR="00005452">
        <w:t xml:space="preserve"> </w:t>
      </w:r>
      <w:r w:rsidR="00005452">
        <w:rPr>
          <w:b/>
        </w:rPr>
        <w:t>[55.2.3</w:t>
      </w:r>
      <w:r w:rsidR="00AC6D6E">
        <w:rPr>
          <w:b/>
        </w:rPr>
        <w:t>(</w:t>
      </w:r>
      <w:r w:rsidR="00005452">
        <w:rPr>
          <w:b/>
        </w:rPr>
        <w:t>a</w:t>
      </w:r>
      <w:r w:rsidR="00AC6D6E">
        <w:rPr>
          <w:b/>
        </w:rPr>
        <w:t>)</w:t>
      </w:r>
      <w:r w:rsidR="00005452">
        <w:rPr>
          <w:b/>
        </w:rPr>
        <w:t xml:space="preserve">, </w:t>
      </w:r>
      <w:r w:rsidR="00005452" w:rsidRPr="00005452">
        <w:rPr>
          <w:b/>
        </w:rPr>
        <w:t>55.2.1</w:t>
      </w:r>
      <w:r w:rsidR="00AC6D6E">
        <w:rPr>
          <w:b/>
        </w:rPr>
        <w:t>(</w:t>
      </w:r>
      <w:r w:rsidR="00005452" w:rsidRPr="00005452">
        <w:rPr>
          <w:b/>
        </w:rPr>
        <w:t>a</w:t>
      </w:r>
      <w:r w:rsidR="00AC6D6E">
        <w:rPr>
          <w:b/>
        </w:rPr>
        <w:t>)</w:t>
      </w:r>
      <w:r w:rsidR="00005452" w:rsidRPr="00005452">
        <w:rPr>
          <w:b/>
        </w:rPr>
        <w:t>]</w:t>
      </w:r>
      <w:r w:rsidR="00005452">
        <w:t xml:space="preserve"> </w:t>
      </w:r>
    </w:p>
    <w:p w:rsidR="00005452" w:rsidRDefault="00005452" w:rsidP="00E10A58">
      <w:pPr>
        <w:numPr>
          <w:ilvl w:val="4"/>
          <w:numId w:val="22"/>
        </w:numPr>
      </w:pPr>
      <w:r>
        <w:lastRenderedPageBreak/>
        <w:t>Obtain complete and accurate information on victim/witness for use by</w:t>
      </w:r>
      <w:r w:rsidR="00A64212">
        <w:t xml:space="preserve"> the </w:t>
      </w:r>
      <w:r>
        <w:t>D</w:t>
      </w:r>
      <w:r w:rsidR="00A64212">
        <w:t>istrict Attorney’s Office</w:t>
      </w:r>
      <w:r>
        <w:t xml:space="preserve"> Victim/Witness Assistance Unit. The information should include complete local and permanent addresses and telephone numbers. </w:t>
      </w:r>
      <w:r w:rsidRPr="00005452">
        <w:rPr>
          <w:b/>
        </w:rPr>
        <w:t>[55.2.3</w:t>
      </w:r>
      <w:r w:rsidR="00AC6D6E">
        <w:rPr>
          <w:b/>
        </w:rPr>
        <w:t>(</w:t>
      </w:r>
      <w:r w:rsidRPr="00005452">
        <w:rPr>
          <w:b/>
        </w:rPr>
        <w:t>a</w:t>
      </w:r>
      <w:r w:rsidR="00AC6D6E">
        <w:rPr>
          <w:b/>
        </w:rPr>
        <w:t>)</w:t>
      </w:r>
      <w:r w:rsidRPr="00005452">
        <w:rPr>
          <w:b/>
        </w:rPr>
        <w:t>, 55.2.1</w:t>
      </w:r>
      <w:r w:rsidR="00AC6D6E">
        <w:rPr>
          <w:b/>
        </w:rPr>
        <w:t>(</w:t>
      </w:r>
      <w:r w:rsidRPr="00005452">
        <w:rPr>
          <w:b/>
        </w:rPr>
        <w:t>a</w:t>
      </w:r>
      <w:r w:rsidR="00AC6D6E">
        <w:rPr>
          <w:b/>
        </w:rPr>
        <w:t>)</w:t>
      </w:r>
      <w:r w:rsidRPr="00005452">
        <w:rPr>
          <w:b/>
        </w:rPr>
        <w:t>]</w:t>
      </w:r>
    </w:p>
    <w:p w:rsidR="00E10A58" w:rsidRDefault="00E10A58" w:rsidP="00E10A58">
      <w:pPr>
        <w:numPr>
          <w:ilvl w:val="3"/>
          <w:numId w:val="22"/>
        </w:numPr>
      </w:pPr>
      <w:r>
        <w:t>Follow-Up Investig</w:t>
      </w:r>
      <w:r w:rsidR="00005452">
        <w:t xml:space="preserve">ations: Officers </w:t>
      </w:r>
      <w:r>
        <w:t>conduct</w:t>
      </w:r>
      <w:r w:rsidR="00005452">
        <w:t>ing</w:t>
      </w:r>
      <w:r>
        <w:t xml:space="preserve"> the follow-up investigation shall be prepared to offer the victim or witness assistance during the course of their involvement with the case.</w:t>
      </w:r>
      <w:r w:rsidR="00005452">
        <w:t xml:space="preserve"> Officers shall provide the following services: </w:t>
      </w:r>
      <w:r w:rsidR="00005452" w:rsidRPr="00005452">
        <w:rPr>
          <w:b/>
        </w:rPr>
        <w:t>[55.2.4</w:t>
      </w:r>
      <w:r w:rsidR="00AC6D6E">
        <w:rPr>
          <w:b/>
        </w:rPr>
        <w:t>(</w:t>
      </w:r>
      <w:r w:rsidR="00005452" w:rsidRPr="00005452">
        <w:rPr>
          <w:b/>
        </w:rPr>
        <w:t>a</w:t>
      </w:r>
      <w:r w:rsidR="00AC6D6E">
        <w:rPr>
          <w:b/>
        </w:rPr>
        <w:t>)</w:t>
      </w:r>
      <w:r w:rsidR="00005452" w:rsidRPr="00005452">
        <w:rPr>
          <w:b/>
        </w:rPr>
        <w:t>]</w:t>
      </w:r>
      <w:r w:rsidR="00005452">
        <w:t xml:space="preserve"> </w:t>
      </w:r>
    </w:p>
    <w:p w:rsidR="00E10A58" w:rsidRPr="00A64212" w:rsidRDefault="00E10A58" w:rsidP="00E10A58">
      <w:pPr>
        <w:numPr>
          <w:ilvl w:val="4"/>
          <w:numId w:val="22"/>
        </w:numPr>
        <w:rPr>
          <w:i/>
        </w:rPr>
      </w:pPr>
      <w:r>
        <w:t xml:space="preserve">If the impact of the crime has been unusually severe and has </w:t>
      </w:r>
      <w:r w:rsidR="00E73B2D">
        <w:t xml:space="preserve">therefore necessitated above-average </w:t>
      </w:r>
      <w:r>
        <w:t>victim or witnes</w:t>
      </w:r>
      <w:r w:rsidR="00E73B2D">
        <w:t>s assistance</w:t>
      </w:r>
      <w:r>
        <w:t xml:space="preserve">, the </w:t>
      </w:r>
      <w:r w:rsidR="00936A84">
        <w:t>lead case investigator</w:t>
      </w:r>
      <w:r>
        <w:t xml:space="preserve"> shall, within twenty-four hours of initial contact, check with the victim or witness to determine if his/her needs are being met.  A second contact shall be made within ten days.</w:t>
      </w:r>
      <w:r w:rsidRPr="005F3776">
        <w:t xml:space="preserve"> </w:t>
      </w:r>
      <w:r w:rsidRPr="00C021C2">
        <w:rPr>
          <w:b/>
        </w:rPr>
        <w:t>[55.2.4(a)]</w:t>
      </w:r>
      <w:r w:rsidR="00936A84">
        <w:rPr>
          <w:b/>
        </w:rPr>
        <w:t xml:space="preserve"> [55.2.1</w:t>
      </w:r>
      <w:r w:rsidR="00AC6D6E">
        <w:rPr>
          <w:b/>
        </w:rPr>
        <w:t>(</w:t>
      </w:r>
      <w:r w:rsidR="00936A84">
        <w:rPr>
          <w:b/>
        </w:rPr>
        <w:t>a</w:t>
      </w:r>
      <w:r w:rsidR="00AC6D6E">
        <w:rPr>
          <w:b/>
        </w:rPr>
        <w:t>)(b)</w:t>
      </w:r>
      <w:r w:rsidR="00936A84">
        <w:rPr>
          <w:b/>
        </w:rPr>
        <w:t xml:space="preserve">] </w:t>
      </w:r>
      <w:r w:rsidR="00A64212" w:rsidRPr="00A64212">
        <w:t xml:space="preserve">The contacts are to be documented in the case report. </w:t>
      </w:r>
    </w:p>
    <w:p w:rsidR="00E10A58" w:rsidRPr="00C021C2" w:rsidRDefault="00936A84" w:rsidP="00E10A58">
      <w:pPr>
        <w:numPr>
          <w:ilvl w:val="4"/>
          <w:numId w:val="22"/>
        </w:numPr>
        <w:rPr>
          <w:b/>
        </w:rPr>
      </w:pPr>
      <w:r>
        <w:t>The lead case investigator</w:t>
      </w:r>
      <w:r w:rsidR="00C021C2">
        <w:t xml:space="preserve"> </w:t>
      </w:r>
      <w:r w:rsidR="00E10A58">
        <w:t xml:space="preserve">shall explain to the victim or witness the procedures involved in the prosecution of the case and his/her role in that process.  </w:t>
      </w:r>
      <w:r w:rsidR="00E10A58" w:rsidRPr="00C021C2">
        <w:rPr>
          <w:b/>
        </w:rPr>
        <w:t>[55.2.4(b)]</w:t>
      </w:r>
    </w:p>
    <w:p w:rsidR="00E10A58" w:rsidRDefault="00E10A58" w:rsidP="00E10A58">
      <w:pPr>
        <w:numPr>
          <w:ilvl w:val="4"/>
          <w:numId w:val="22"/>
        </w:numPr>
      </w:pPr>
      <w:r>
        <w:t xml:space="preserve">If feasible, </w:t>
      </w:r>
      <w:r w:rsidR="00936A84">
        <w:t>the lead case investigator</w:t>
      </w:r>
      <w:r>
        <w:t xml:space="preserve"> shall schedule all line ups,</w:t>
      </w:r>
      <w:r w:rsidR="00E73B2D">
        <w:t xml:space="preserve"> photo arrays,</w:t>
      </w:r>
      <w:r>
        <w:t xml:space="preserve"> interviews or other required appearances of the victim or witness at such person’s convenience and, if necessary, provide transportation to and from the site of such appearance. </w:t>
      </w:r>
      <w:r w:rsidRPr="00C021C2">
        <w:rPr>
          <w:b/>
        </w:rPr>
        <w:t>[55.2.4(c)]</w:t>
      </w:r>
    </w:p>
    <w:p w:rsidR="00E10A58" w:rsidRDefault="00E10A58" w:rsidP="00E10A58">
      <w:pPr>
        <w:numPr>
          <w:ilvl w:val="4"/>
          <w:numId w:val="22"/>
        </w:numPr>
      </w:pPr>
      <w:r>
        <w:t xml:space="preserve">Whenever possible, the </w:t>
      </w:r>
      <w:r w:rsidR="00936A84">
        <w:t>lead case investigator</w:t>
      </w:r>
      <w:r>
        <w:t xml:space="preserve"> shall arrange for the prompt return of the property of the victim or witness as permitted by law or rule of evidence. Property may be held if it is:</w:t>
      </w:r>
      <w:r w:rsidRPr="000204BA">
        <w:t xml:space="preserve"> </w:t>
      </w:r>
      <w:r w:rsidRPr="00C021C2">
        <w:rPr>
          <w:b/>
        </w:rPr>
        <w:t>[55.2.4(d)]</w:t>
      </w:r>
    </w:p>
    <w:p w:rsidR="00E10A58" w:rsidRDefault="00E10A58" w:rsidP="00E10A58">
      <w:pPr>
        <w:numPr>
          <w:ilvl w:val="5"/>
          <w:numId w:val="22"/>
        </w:numPr>
      </w:pPr>
      <w:r>
        <w:t>Contraband;</w:t>
      </w:r>
    </w:p>
    <w:p w:rsidR="00E10A58" w:rsidRDefault="00E10A58" w:rsidP="00E10A58">
      <w:pPr>
        <w:numPr>
          <w:ilvl w:val="5"/>
          <w:numId w:val="22"/>
        </w:numPr>
      </w:pPr>
      <w:r>
        <w:t>Evi</w:t>
      </w:r>
      <w:r w:rsidR="00E73B2D">
        <w:t xml:space="preserve">dence needed for prosecution; </w:t>
      </w:r>
    </w:p>
    <w:p w:rsidR="00E10A58" w:rsidRDefault="00E10A58" w:rsidP="00E10A58">
      <w:pPr>
        <w:numPr>
          <w:ilvl w:val="5"/>
          <w:numId w:val="22"/>
        </w:numPr>
      </w:pPr>
      <w:r>
        <w:t>Property with</w:t>
      </w:r>
      <w:r w:rsidR="00E73B2D">
        <w:t xml:space="preserve"> ownership in dispute; or</w:t>
      </w:r>
    </w:p>
    <w:p w:rsidR="00E73B2D" w:rsidRDefault="00E73B2D" w:rsidP="00E73B2D">
      <w:pPr>
        <w:numPr>
          <w:ilvl w:val="5"/>
          <w:numId w:val="22"/>
        </w:numPr>
      </w:pPr>
      <w:r>
        <w:t xml:space="preserve">Weapons used in the course of the crime. </w:t>
      </w:r>
    </w:p>
    <w:p w:rsidR="00E10A58" w:rsidRDefault="00E10A58" w:rsidP="00E10A58">
      <w:pPr>
        <w:numPr>
          <w:ilvl w:val="5"/>
          <w:numId w:val="22"/>
        </w:numPr>
      </w:pPr>
      <w:r>
        <w:t xml:space="preserve">For further information, see the department policy on </w:t>
      </w:r>
      <w:r>
        <w:rPr>
          <w:b/>
          <w:i/>
        </w:rPr>
        <w:t>Evidence and Property Control</w:t>
      </w:r>
      <w:r>
        <w:t xml:space="preserve">. </w:t>
      </w:r>
    </w:p>
    <w:p w:rsidR="00E10A58" w:rsidRPr="00C021C2" w:rsidRDefault="00E10A58" w:rsidP="00E10A58">
      <w:pPr>
        <w:pStyle w:val="Heading4"/>
        <w:numPr>
          <w:ilvl w:val="2"/>
          <w:numId w:val="22"/>
        </w:numPr>
        <w:rPr>
          <w:b/>
        </w:rPr>
      </w:pPr>
      <w:r>
        <w:t xml:space="preserve">Threats </w:t>
      </w:r>
      <w:smartTag w:uri="urn:schemas-microsoft-com:office:smarttags" w:element="stockticker">
        <w:r>
          <w:t>and</w:t>
        </w:r>
      </w:smartTag>
      <w:r>
        <w:t xml:space="preserve"> Intimidation </w:t>
      </w:r>
      <w:r w:rsidRPr="00C021C2">
        <w:rPr>
          <w:b/>
        </w:rPr>
        <w:t>[55.2.2]</w:t>
      </w:r>
    </w:p>
    <w:p w:rsidR="00E10A58" w:rsidRDefault="00E10A58" w:rsidP="00E10A58">
      <w:pPr>
        <w:numPr>
          <w:ilvl w:val="3"/>
          <w:numId w:val="22"/>
        </w:numPr>
      </w:pPr>
      <w:r>
        <w:t>Evaluating Threats</w:t>
      </w:r>
    </w:p>
    <w:p w:rsidR="00E10A58" w:rsidRDefault="00E10A58" w:rsidP="00E10A58">
      <w:pPr>
        <w:numPr>
          <w:ilvl w:val="4"/>
          <w:numId w:val="22"/>
        </w:numPr>
      </w:pPr>
      <w:r>
        <w:t>In the event that a police officer becomes aware that a victim of or a witness to a crime has been threatened or intimidated by the suspect or suspect’s friends, family, attorney or other associates:</w:t>
      </w:r>
    </w:p>
    <w:p w:rsidR="00E10A58" w:rsidRDefault="00005452" w:rsidP="00E10A58">
      <w:pPr>
        <w:numPr>
          <w:ilvl w:val="5"/>
          <w:numId w:val="22"/>
        </w:numPr>
      </w:pPr>
      <w:r>
        <w:lastRenderedPageBreak/>
        <w:t xml:space="preserve">The shift </w:t>
      </w:r>
      <w:r w:rsidR="00936A84">
        <w:t>supervisor</w:t>
      </w:r>
      <w:r w:rsidR="00E10A58">
        <w:t xml:space="preserve"> shall be notified.</w:t>
      </w:r>
    </w:p>
    <w:p w:rsidR="00E10A58" w:rsidRDefault="00E10A58" w:rsidP="00E10A58">
      <w:pPr>
        <w:numPr>
          <w:ilvl w:val="5"/>
          <w:numId w:val="22"/>
        </w:numPr>
      </w:pPr>
      <w:r>
        <w:t>The officer shall consider the nature of the threat and potential for its being acted upon.</w:t>
      </w:r>
    </w:p>
    <w:p w:rsidR="00E10A58" w:rsidRDefault="00E10A58" w:rsidP="00E10A58">
      <w:pPr>
        <w:numPr>
          <w:ilvl w:val="5"/>
          <w:numId w:val="22"/>
        </w:numPr>
      </w:pPr>
      <w:r>
        <w:t>If, in the opinion of the investigating officer or supervisor, the threat appears credible, it should be further investigated.</w:t>
      </w:r>
    </w:p>
    <w:p w:rsidR="00E10A58" w:rsidRDefault="00E10A58" w:rsidP="00E10A58">
      <w:pPr>
        <w:numPr>
          <w:ilvl w:val="5"/>
          <w:numId w:val="22"/>
        </w:numPr>
      </w:pPr>
      <w:r>
        <w:t>Appropriate action should be taken.</w:t>
      </w:r>
    </w:p>
    <w:p w:rsidR="00E10A58" w:rsidRDefault="00E10A58" w:rsidP="00E10A58">
      <w:pPr>
        <w:numPr>
          <w:ilvl w:val="4"/>
          <w:numId w:val="22"/>
        </w:numPr>
      </w:pPr>
      <w:r>
        <w:t>If, in the opinion of the investigating officer or supervisor, there exists an express specific, credible reason for fearing intimidation or further intimidation, appropriate action should be taken.</w:t>
      </w:r>
    </w:p>
    <w:p w:rsidR="00E10A58" w:rsidRDefault="00E10A58" w:rsidP="00E10A58">
      <w:pPr>
        <w:numPr>
          <w:ilvl w:val="3"/>
          <w:numId w:val="22"/>
        </w:numPr>
      </w:pPr>
      <w:r>
        <w:t>Statutes Addressing Threats and Intimidation of Victims or Witnesses:</w:t>
      </w:r>
    </w:p>
    <w:p w:rsidR="00E10A58" w:rsidRDefault="00E10A58" w:rsidP="00E10A58">
      <w:pPr>
        <w:numPr>
          <w:ilvl w:val="4"/>
          <w:numId w:val="22"/>
        </w:numPr>
      </w:pPr>
      <w:r>
        <w:t xml:space="preserve">M.G.L. c. </w:t>
      </w:r>
      <w:proofErr w:type="gramStart"/>
      <w:r>
        <w:t>268,  §</w:t>
      </w:r>
      <w:proofErr w:type="gramEnd"/>
      <w:r>
        <w:t>13B; Intimidation of Witnesses. A felony.</w:t>
      </w:r>
    </w:p>
    <w:p w:rsidR="00E10A58" w:rsidRDefault="00E10A58" w:rsidP="00E10A58">
      <w:pPr>
        <w:numPr>
          <w:ilvl w:val="4"/>
          <w:numId w:val="22"/>
        </w:numPr>
      </w:pPr>
      <w:r>
        <w:t>M.G.L. c. 209A, § 7; Abuse Prevention Orders: A misdemeanor with statutory right to arrest.</w:t>
      </w:r>
    </w:p>
    <w:p w:rsidR="00E10A58" w:rsidRDefault="00E10A58" w:rsidP="00E10A58">
      <w:pPr>
        <w:numPr>
          <w:ilvl w:val="4"/>
          <w:numId w:val="22"/>
        </w:numPr>
      </w:pPr>
      <w:r>
        <w:t xml:space="preserve">M.G.L. c. </w:t>
      </w:r>
      <w:proofErr w:type="gramStart"/>
      <w:r>
        <w:t>275,  §</w:t>
      </w:r>
      <w:proofErr w:type="gramEnd"/>
      <w:r>
        <w:t>2; Threat to Commit a Crime: Misdemeanor, no statutory right of arrest.</w:t>
      </w:r>
    </w:p>
    <w:p w:rsidR="00E10A58" w:rsidRDefault="00E10A58" w:rsidP="00E10A58">
      <w:pPr>
        <w:numPr>
          <w:ilvl w:val="4"/>
          <w:numId w:val="22"/>
        </w:numPr>
      </w:pPr>
      <w:r>
        <w:t>M.G.L. c. 265.43; Stalking: Felony.</w:t>
      </w:r>
    </w:p>
    <w:p w:rsidR="00E10A58" w:rsidRDefault="00E10A58" w:rsidP="00E10A58">
      <w:pPr>
        <w:numPr>
          <w:ilvl w:val="3"/>
          <w:numId w:val="22"/>
        </w:numPr>
      </w:pPr>
      <w:r>
        <w:t>Police Response</w:t>
      </w:r>
    </w:p>
    <w:p w:rsidR="00E10A58" w:rsidRDefault="00E10A58" w:rsidP="00E10A58">
      <w:pPr>
        <w:numPr>
          <w:ilvl w:val="4"/>
          <w:numId w:val="22"/>
        </w:numPr>
      </w:pPr>
      <w:r>
        <w:t>Police response should be appropriate given the circumstances known at the time and may include:</w:t>
      </w:r>
    </w:p>
    <w:p w:rsidR="00E10A58" w:rsidRDefault="00E10A58" w:rsidP="00E10A58">
      <w:pPr>
        <w:numPr>
          <w:ilvl w:val="5"/>
          <w:numId w:val="22"/>
        </w:numPr>
      </w:pPr>
      <w:r>
        <w:t>Immediate arrest for appropriate charge;</w:t>
      </w:r>
    </w:p>
    <w:p w:rsidR="00E10A58" w:rsidRDefault="00E10A58" w:rsidP="00E10A58">
      <w:pPr>
        <w:numPr>
          <w:ilvl w:val="5"/>
          <w:numId w:val="22"/>
        </w:numPr>
      </w:pPr>
      <w:r>
        <w:t>Application for an arrest warrant;</w:t>
      </w:r>
    </w:p>
    <w:p w:rsidR="00E10A58" w:rsidRDefault="00E10A58" w:rsidP="00E10A58">
      <w:pPr>
        <w:numPr>
          <w:ilvl w:val="5"/>
          <w:numId w:val="22"/>
        </w:numPr>
      </w:pPr>
      <w:r>
        <w:t>Summons (may request an expedited hearing date);</w:t>
      </w:r>
    </w:p>
    <w:p w:rsidR="00E10A58" w:rsidRDefault="00936A84" w:rsidP="00E10A58">
      <w:pPr>
        <w:numPr>
          <w:ilvl w:val="5"/>
          <w:numId w:val="22"/>
        </w:numPr>
      </w:pPr>
      <w:r>
        <w:t>Show Cause H</w:t>
      </w:r>
      <w:r w:rsidR="00E10A58">
        <w:t>earing; and</w:t>
      </w:r>
    </w:p>
    <w:p w:rsidR="00E10A58" w:rsidRDefault="00E10A58" w:rsidP="00E10A58">
      <w:pPr>
        <w:numPr>
          <w:ilvl w:val="5"/>
          <w:numId w:val="22"/>
        </w:numPr>
      </w:pPr>
      <w:r>
        <w:t>Conferring with District Attorney’s Office regarding appropriate action, including:</w:t>
      </w:r>
    </w:p>
    <w:p w:rsidR="00E10A58" w:rsidRDefault="00E10A58" w:rsidP="00E10A58">
      <w:pPr>
        <w:numPr>
          <w:ilvl w:val="6"/>
          <w:numId w:val="22"/>
        </w:numPr>
      </w:pPr>
      <w:r>
        <w:t>Arrest or prosecution of appropriate person(s);</w:t>
      </w:r>
    </w:p>
    <w:p w:rsidR="00E10A58" w:rsidRDefault="00E10A58" w:rsidP="00E10A58">
      <w:pPr>
        <w:numPr>
          <w:ilvl w:val="6"/>
          <w:numId w:val="22"/>
        </w:numPr>
      </w:pPr>
      <w:r>
        <w:t>Security for victim or witness; and</w:t>
      </w:r>
    </w:p>
    <w:p w:rsidR="00E10A58" w:rsidRDefault="00E10A58" w:rsidP="00E10A58">
      <w:pPr>
        <w:numPr>
          <w:ilvl w:val="6"/>
          <w:numId w:val="22"/>
        </w:numPr>
      </w:pPr>
      <w:r>
        <w:t>Relocation of victim or witness.</w:t>
      </w:r>
    </w:p>
    <w:p w:rsidR="00E10A58" w:rsidRDefault="00E10A58" w:rsidP="00E10A58">
      <w:pPr>
        <w:numPr>
          <w:ilvl w:val="4"/>
          <w:numId w:val="22"/>
        </w:numPr>
      </w:pPr>
      <w:r>
        <w:t>In cases of an immediate, credible threat, a supervisor may confer with</w:t>
      </w:r>
      <w:r w:rsidRPr="007B7AF8">
        <w:rPr>
          <w:b/>
        </w:rPr>
        <w:t xml:space="preserve"> </w:t>
      </w:r>
      <w:r w:rsidR="00A64212">
        <w:t>the Chief of P</w:t>
      </w:r>
      <w:r w:rsidR="00C021C2">
        <w:t>olice</w:t>
      </w:r>
      <w:r w:rsidRPr="007B7AF8">
        <w:rPr>
          <w:b/>
        </w:rPr>
        <w:t xml:space="preserve"> </w:t>
      </w:r>
      <w:r>
        <w:t>regarding emergency measures to provide protection for the victim or witness.</w:t>
      </w:r>
    </w:p>
    <w:p w:rsidR="00E10A58" w:rsidRDefault="00E10A58" w:rsidP="00E10A58">
      <w:pPr>
        <w:numPr>
          <w:ilvl w:val="4"/>
          <w:numId w:val="22"/>
        </w:numPr>
      </w:pPr>
      <w:r>
        <w:t>In the event that a victim or witness is located outside of the department’s jurisdiction, the agency having jurisdiction where the victim or witness is located shall be notified.</w:t>
      </w:r>
    </w:p>
    <w:p w:rsidR="00E10A58" w:rsidRDefault="00E10A58" w:rsidP="00E10A58">
      <w:pPr>
        <w:numPr>
          <w:ilvl w:val="2"/>
          <w:numId w:val="22"/>
        </w:numPr>
      </w:pPr>
      <w:r w:rsidRPr="00B92059">
        <w:rPr>
          <w:rStyle w:val="EnvelopeAddressChar"/>
          <w:rFonts w:ascii="Bookman Old Style" w:hAnsi="Bookman Old Style"/>
        </w:rPr>
        <w:lastRenderedPageBreak/>
        <w:t>SERVICES PROVIDED, OTHER THAN POLICE DEPARTMENT</w:t>
      </w:r>
      <w:r>
        <w:t xml:space="preserve"> </w:t>
      </w:r>
      <w:r w:rsidR="00936A84">
        <w:rPr>
          <w:b/>
        </w:rPr>
        <w:t>[55.2.1</w:t>
      </w:r>
      <w:r w:rsidRPr="00C021C2">
        <w:rPr>
          <w:b/>
        </w:rPr>
        <w:t>]:</w:t>
      </w:r>
      <w:r>
        <w:t xml:space="preserve"> Additional victim and witness services are available fr</w:t>
      </w:r>
      <w:r w:rsidR="00A64212">
        <w:t>om sources other the department, such as:</w:t>
      </w:r>
    </w:p>
    <w:p w:rsidR="00E10A58" w:rsidRDefault="00E10A58" w:rsidP="00E10A58">
      <w:pPr>
        <w:numPr>
          <w:ilvl w:val="4"/>
          <w:numId w:val="22"/>
        </w:numPr>
      </w:pPr>
      <w:r>
        <w:t>District Attorney’s Office (see Victim Bill Of Rights in this policy).</w:t>
      </w:r>
    </w:p>
    <w:p w:rsidR="00E10A58" w:rsidRDefault="00C021C2" w:rsidP="00E10A58">
      <w:pPr>
        <w:numPr>
          <w:ilvl w:val="4"/>
          <w:numId w:val="22"/>
        </w:numPr>
      </w:pPr>
      <w:smartTag w:uri="urn:schemas-microsoft-com:office:smarttags" w:element="place">
        <w:smartTag w:uri="urn:schemas-microsoft-com:office:smarttags" w:element="PlaceName">
          <w:r>
            <w:t>Elizabeth</w:t>
          </w:r>
        </w:smartTag>
        <w:r>
          <w:t xml:space="preserve"> </w:t>
        </w:r>
        <w:smartTag w:uri="urn:schemas-microsoft-com:office:smarttags" w:element="PlaceName">
          <w:r>
            <w:t>Freedman</w:t>
          </w:r>
        </w:smartTag>
        <w:r>
          <w:t xml:space="preserve"> </w:t>
        </w:r>
        <w:smartTag w:uri="urn:schemas-microsoft-com:office:smarttags" w:element="PlaceType">
          <w:r>
            <w:t>Center</w:t>
          </w:r>
        </w:smartTag>
      </w:smartTag>
      <w:r>
        <w:t>.</w:t>
      </w:r>
    </w:p>
    <w:p w:rsidR="005C118E" w:rsidRPr="00C021C2" w:rsidRDefault="005C118E" w:rsidP="009A5146">
      <w:pPr>
        <w:ind w:left="1440"/>
      </w:pPr>
      <w:r>
        <w:t xml:space="preserve">3)  </w:t>
      </w:r>
      <w:r w:rsidR="00A27D2C" w:rsidRPr="00A27D2C">
        <w:rPr>
          <w:b/>
        </w:rPr>
        <w:t xml:space="preserve">The Booking Area has </w:t>
      </w:r>
      <w:r w:rsidR="009A5146">
        <w:rPr>
          <w:b/>
        </w:rPr>
        <w:t>V</w:t>
      </w:r>
      <w:r w:rsidR="00A27D2C" w:rsidRPr="00A27D2C">
        <w:rPr>
          <w:b/>
        </w:rPr>
        <w:t xml:space="preserve">ictim </w:t>
      </w:r>
      <w:r w:rsidR="009A5146">
        <w:rPr>
          <w:b/>
        </w:rPr>
        <w:t>I</w:t>
      </w:r>
      <w:r w:rsidR="00A27D2C" w:rsidRPr="00A27D2C">
        <w:rPr>
          <w:b/>
        </w:rPr>
        <w:t xml:space="preserve">nformation </w:t>
      </w:r>
      <w:r w:rsidR="009A5146">
        <w:rPr>
          <w:b/>
        </w:rPr>
        <w:t>P</w:t>
      </w:r>
      <w:r w:rsidR="00A27D2C" w:rsidRPr="00A27D2C">
        <w:rPr>
          <w:b/>
        </w:rPr>
        <w:t xml:space="preserve">ackets that </w:t>
      </w:r>
      <w:r w:rsidR="009A5146">
        <w:rPr>
          <w:b/>
        </w:rPr>
        <w:br/>
        <w:t xml:space="preserve">     </w:t>
      </w:r>
      <w:r w:rsidR="00A27D2C" w:rsidRPr="00A27D2C">
        <w:rPr>
          <w:b/>
        </w:rPr>
        <w:t>shall</w:t>
      </w:r>
      <w:r w:rsidR="00A27D2C">
        <w:rPr>
          <w:b/>
        </w:rPr>
        <w:t xml:space="preserve"> </w:t>
      </w:r>
      <w:r w:rsidR="00D227FB">
        <w:rPr>
          <w:b/>
        </w:rPr>
        <w:t xml:space="preserve">be </w:t>
      </w:r>
      <w:r w:rsidRPr="00A27D2C">
        <w:rPr>
          <w:b/>
        </w:rPr>
        <w:t>given to victims of any crime</w:t>
      </w:r>
      <w:r>
        <w:rPr>
          <w:b/>
        </w:rPr>
        <w:t xml:space="preserve">. </w:t>
      </w:r>
    </w:p>
    <w:p w:rsidR="00E10A58" w:rsidRDefault="00E10A58" w:rsidP="00E10A58">
      <w:pPr>
        <w:pStyle w:val="Heading4"/>
        <w:numPr>
          <w:ilvl w:val="2"/>
          <w:numId w:val="22"/>
        </w:numPr>
      </w:pPr>
      <w:r>
        <w:t>Training of department Personnel</w:t>
      </w:r>
    </w:p>
    <w:p w:rsidR="00E10A58" w:rsidRDefault="00E10A58" w:rsidP="00E10A58">
      <w:pPr>
        <w:numPr>
          <w:ilvl w:val="3"/>
          <w:numId w:val="22"/>
        </w:numPr>
      </w:pPr>
      <w:r>
        <w:t>Upon hiring, as part of initial in-house training, all employees shall receive a copy of and training regarding the Victim Bill of Rights. Employees shall be trained in regard to department and other programs and procedures designed to offer assistance to victims and witnesses of a crime, as specified in this policy.</w:t>
      </w:r>
    </w:p>
    <w:p w:rsidR="00E10A58" w:rsidRDefault="00E10A58" w:rsidP="00E10A58">
      <w:pPr>
        <w:numPr>
          <w:ilvl w:val="3"/>
          <w:numId w:val="22"/>
        </w:numPr>
      </w:pPr>
      <w:r>
        <w:t xml:space="preserve">Training documentation shall be filed </w:t>
      </w:r>
      <w:r w:rsidR="00E21EB7">
        <w:t>in the accreditation</w:t>
      </w:r>
      <w:r w:rsidR="00C021C2">
        <w:t xml:space="preserve"> file</w:t>
      </w:r>
      <w:r w:rsidR="00E21EB7">
        <w:t>s</w:t>
      </w:r>
      <w:r>
        <w:t>.</w:t>
      </w:r>
    </w:p>
    <w:sectPr w:rsidR="00E10A58" w:rsidSect="00E00AE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C0" w:rsidRDefault="00D16BC0">
      <w:r>
        <w:separator/>
      </w:r>
    </w:p>
  </w:endnote>
  <w:endnote w:type="continuationSeparator" w:id="0">
    <w:p w:rsidR="00D16BC0" w:rsidRDefault="00D16BC0">
      <w:r>
        <w:continuationSeparator/>
      </w:r>
    </w:p>
  </w:endnote>
  <w:endnote w:id="1">
    <w:p w:rsidR="00EF7BE8" w:rsidRDefault="00EF7BE8" w:rsidP="00E10A58">
      <w:pPr>
        <w:pStyle w:val="EndnoteText"/>
      </w:pPr>
      <w:r>
        <w:rPr>
          <w:rStyle w:val="EndnoteReference"/>
        </w:rPr>
        <w:endnoteRef/>
      </w:r>
      <w:r>
        <w:t xml:space="preserve"> M.G.L. c. 258</w:t>
      </w:r>
      <w:proofErr w:type="gramStart"/>
      <w:r>
        <w:t>C,  §</w:t>
      </w:r>
      <w:proofErr w:type="gramEnd"/>
      <w:r>
        <w:t xml:space="preserve"> 3(a).</w:t>
      </w:r>
    </w:p>
  </w:endnote>
  <w:endnote w:id="2">
    <w:p w:rsidR="00EF7BE8" w:rsidRDefault="00EF7BE8" w:rsidP="00E10A58">
      <w:pPr>
        <w:pStyle w:val="EndnoteText"/>
      </w:pPr>
      <w:r>
        <w:rPr>
          <w:rStyle w:val="EndnoteReference"/>
        </w:rPr>
        <w:endnoteRef/>
      </w:r>
      <w:r>
        <w:t xml:space="preserve"> M.G.L. c. 258</w:t>
      </w:r>
      <w:proofErr w:type="gramStart"/>
      <w:r>
        <w:t>C,  §</w:t>
      </w:r>
      <w:proofErr w:type="gramEnd"/>
      <w:r>
        <w:t>3(d).</w:t>
      </w:r>
    </w:p>
  </w:endnote>
  <w:endnote w:id="3">
    <w:p w:rsidR="00EF7BE8" w:rsidRDefault="00EF7BE8" w:rsidP="00E10A58">
      <w:pPr>
        <w:pStyle w:val="EndnoteText"/>
      </w:pPr>
      <w:r>
        <w:rPr>
          <w:rStyle w:val="EndnoteReference"/>
        </w:rPr>
        <w:endnoteRef/>
      </w:r>
      <w:r>
        <w:t xml:space="preserve"> M.G.L. c. 258</w:t>
      </w:r>
      <w:proofErr w:type="gramStart"/>
      <w:r>
        <w:t>C,  §</w:t>
      </w:r>
      <w:proofErr w:type="gramEnd"/>
      <w:r>
        <w:t>3(h).</w:t>
      </w:r>
    </w:p>
  </w:endnote>
  <w:endnote w:id="4">
    <w:p w:rsidR="00EF7BE8" w:rsidRDefault="00EF7BE8" w:rsidP="00E10A58">
      <w:pPr>
        <w:pStyle w:val="EndnoteText"/>
      </w:pPr>
      <w:r>
        <w:rPr>
          <w:rStyle w:val="EndnoteReference"/>
        </w:rPr>
        <w:endnoteRef/>
      </w:r>
      <w:r>
        <w:t>M.G.L. c. 258</w:t>
      </w:r>
      <w:proofErr w:type="gramStart"/>
      <w:r>
        <w:t>C,  §</w:t>
      </w:r>
      <w:proofErr w:type="gramEnd"/>
      <w:r>
        <w:t xml:space="preserve">3(b). </w:t>
      </w:r>
    </w:p>
  </w:endnote>
  <w:endnote w:id="5">
    <w:p w:rsidR="00EF7BE8" w:rsidRDefault="00EF7BE8">
      <w:pPr>
        <w:pStyle w:val="EndnoteText"/>
      </w:pPr>
      <w:r>
        <w:rPr>
          <w:rStyle w:val="EndnoteReference"/>
        </w:rPr>
        <w:endnoteRef/>
      </w:r>
      <w:r>
        <w:t xml:space="preserve"> M.G.L. c. 258</w:t>
      </w:r>
      <w:proofErr w:type="gramStart"/>
      <w:r>
        <w:t>C,  §</w:t>
      </w:r>
      <w:proofErr w:type="gramEnd"/>
      <w:r>
        <w:t>3(v).</w:t>
      </w:r>
    </w:p>
  </w:endnote>
  <w:endnote w:id="6">
    <w:p w:rsidR="00EF7BE8" w:rsidRDefault="00EF7BE8" w:rsidP="00E10A58">
      <w:pPr>
        <w:pStyle w:val="EndnoteText"/>
      </w:pPr>
      <w:r>
        <w:rPr>
          <w:rStyle w:val="EndnoteReference"/>
        </w:rPr>
        <w:endnoteRef/>
      </w:r>
      <w:r>
        <w:t xml:space="preserve"> M.G.L. c. 258</w:t>
      </w:r>
      <w:proofErr w:type="gramStart"/>
      <w:r>
        <w:t>C,  §</w:t>
      </w:r>
      <w:proofErr w:type="gramEnd"/>
      <w:r>
        <w:t>3(</w:t>
      </w:r>
      <w:proofErr w:type="spellStart"/>
      <w:r>
        <w:t>i</w:t>
      </w:r>
      <w:proofErr w:type="spellEnd"/>
      <w:r>
        <w:t>).</w:t>
      </w:r>
    </w:p>
  </w:endnote>
  <w:endnote w:id="7">
    <w:p w:rsidR="00EF7BE8" w:rsidRDefault="00EF7BE8" w:rsidP="00E10A58">
      <w:pPr>
        <w:pStyle w:val="EndnoteText"/>
      </w:pPr>
      <w:r>
        <w:rPr>
          <w:rStyle w:val="EndnoteReference"/>
        </w:rPr>
        <w:endnoteRef/>
      </w:r>
      <w:r>
        <w:t xml:space="preserve"> M.G.L. c. 258</w:t>
      </w:r>
      <w:proofErr w:type="gramStart"/>
      <w:r>
        <w:t>C,  §</w:t>
      </w:r>
      <w:proofErr w:type="gramEnd"/>
      <w:r>
        <w:t>3(c).</w:t>
      </w:r>
    </w:p>
  </w:endnote>
  <w:endnote w:id="8">
    <w:p w:rsidR="00EF7BE8" w:rsidRDefault="00EF7BE8" w:rsidP="00E10A58">
      <w:pPr>
        <w:pStyle w:val="EndnoteText"/>
      </w:pPr>
      <w:r>
        <w:rPr>
          <w:rStyle w:val="EndnoteReference"/>
        </w:rPr>
        <w:endnoteRef/>
      </w:r>
      <w:r>
        <w:t xml:space="preserve"> M.G.L. c. 258</w:t>
      </w:r>
      <w:proofErr w:type="gramStart"/>
      <w:r>
        <w:t>C,  §</w:t>
      </w:r>
      <w:proofErr w:type="gramEnd"/>
      <w:r>
        <w:t>3(g).</w:t>
      </w:r>
    </w:p>
  </w:endnote>
  <w:endnote w:id="9">
    <w:p w:rsidR="00EF7BE8" w:rsidRDefault="00EF7BE8" w:rsidP="00E10A58">
      <w:pPr>
        <w:pStyle w:val="EndnoteText"/>
      </w:pPr>
      <w:r>
        <w:rPr>
          <w:rStyle w:val="EndnoteReference"/>
        </w:rPr>
        <w:endnoteRef/>
      </w:r>
      <w:r>
        <w:t xml:space="preserve"> M.G.L. c. 258</w:t>
      </w:r>
      <w:proofErr w:type="gramStart"/>
      <w:r>
        <w:t>C,  §</w:t>
      </w:r>
      <w:proofErr w:type="gramEnd"/>
      <w:r>
        <w:t>3(a).</w:t>
      </w:r>
    </w:p>
  </w:endnote>
  <w:endnote w:id="10">
    <w:p w:rsidR="00EF7BE8" w:rsidRDefault="00EF7BE8" w:rsidP="00E10A58">
      <w:pPr>
        <w:pStyle w:val="EndnoteText"/>
      </w:pPr>
      <w:r>
        <w:rPr>
          <w:rStyle w:val="EndnoteReference"/>
        </w:rPr>
        <w:endnoteRef/>
      </w:r>
      <w:r>
        <w:t xml:space="preserve"> M.G.L. c. 258</w:t>
      </w:r>
      <w:proofErr w:type="gramStart"/>
      <w:r>
        <w:t>C,  §</w:t>
      </w:r>
      <w:proofErr w:type="gramEnd"/>
      <w:r>
        <w:t>3(f).</w:t>
      </w:r>
    </w:p>
  </w:endnote>
  <w:endnote w:id="11">
    <w:p w:rsidR="00EF7BE8" w:rsidRDefault="00EF7BE8" w:rsidP="00E10A58">
      <w:pPr>
        <w:pStyle w:val="EndnoteText"/>
      </w:pPr>
      <w:r>
        <w:rPr>
          <w:rStyle w:val="EndnoteReference"/>
        </w:rPr>
        <w:endnoteRef/>
      </w:r>
      <w:r>
        <w:t xml:space="preserve"> M.G.L. c. 258</w:t>
      </w:r>
      <w:proofErr w:type="gramStart"/>
      <w:r>
        <w:t>C,  §</w:t>
      </w:r>
      <w:proofErr w:type="gramEnd"/>
      <w:r>
        <w:t>3(n).</w:t>
      </w:r>
    </w:p>
  </w:endnote>
  <w:endnote w:id="12">
    <w:p w:rsidR="00EF7BE8" w:rsidRDefault="00EF7BE8" w:rsidP="00E10A58">
      <w:pPr>
        <w:pStyle w:val="EndnoteText"/>
      </w:pPr>
      <w:r>
        <w:rPr>
          <w:rStyle w:val="EndnoteReference"/>
        </w:rPr>
        <w:endnoteRef/>
      </w:r>
      <w:r>
        <w:t xml:space="preserve"> M.G.L. c. 258</w:t>
      </w:r>
      <w:proofErr w:type="gramStart"/>
      <w:r>
        <w:t>C,  §</w:t>
      </w:r>
      <w:proofErr w:type="gramEnd"/>
      <w:r>
        <w:t xml:space="preserve"> 3(p).</w:t>
      </w:r>
    </w:p>
  </w:endnote>
  <w:endnote w:id="13">
    <w:p w:rsidR="00EF7BE8" w:rsidRDefault="00EF7BE8" w:rsidP="00E10A58">
      <w:pPr>
        <w:pStyle w:val="EndnoteText"/>
      </w:pPr>
      <w:r>
        <w:rPr>
          <w:rStyle w:val="EndnoteReference"/>
        </w:rPr>
        <w:endnoteRef/>
      </w:r>
      <w:r>
        <w:t xml:space="preserve"> M.G.L. c. 258</w:t>
      </w:r>
      <w:proofErr w:type="gramStart"/>
      <w:r>
        <w:t>C,  §</w:t>
      </w:r>
      <w:proofErr w:type="gramEnd"/>
      <w:r>
        <w:t>3(q).</w:t>
      </w:r>
    </w:p>
  </w:endnote>
  <w:endnote w:id="14">
    <w:p w:rsidR="00EF7BE8" w:rsidRDefault="00EF7BE8" w:rsidP="00E10A58">
      <w:pPr>
        <w:pStyle w:val="EndnoteText"/>
      </w:pPr>
      <w:r>
        <w:rPr>
          <w:rStyle w:val="EndnoteReference"/>
        </w:rPr>
        <w:endnoteRef/>
      </w:r>
      <w:r>
        <w:t xml:space="preserve"> M.G.L. c. 258</w:t>
      </w:r>
      <w:proofErr w:type="gramStart"/>
      <w:r>
        <w:t>C,  §</w:t>
      </w:r>
      <w:proofErr w:type="gramEnd"/>
      <w:r>
        <w:t>3(s).</w:t>
      </w:r>
    </w:p>
  </w:endnote>
  <w:endnote w:id="15">
    <w:p w:rsidR="00EF7BE8" w:rsidRDefault="00EF7BE8" w:rsidP="00E10A58">
      <w:pPr>
        <w:pStyle w:val="EndnoteText"/>
      </w:pPr>
      <w:r>
        <w:rPr>
          <w:rStyle w:val="EndnoteReference"/>
        </w:rPr>
        <w:endnoteRef/>
      </w:r>
      <w:r>
        <w:t xml:space="preserve"> M.G.L. c. 258</w:t>
      </w:r>
      <w:proofErr w:type="gramStart"/>
      <w:r>
        <w:t>C,  §</w:t>
      </w:r>
      <w:proofErr w:type="gramEnd"/>
      <w:r>
        <w:t>3(t).</w:t>
      </w:r>
    </w:p>
  </w:endnote>
  <w:endnote w:id="16">
    <w:p w:rsidR="00EF7BE8" w:rsidRDefault="00EF7BE8">
      <w:pPr>
        <w:pStyle w:val="EndnoteText"/>
      </w:pPr>
      <w:r>
        <w:rPr>
          <w:rStyle w:val="EndnoteReference"/>
        </w:rPr>
        <w:endnoteRef/>
      </w:r>
      <w:r>
        <w:t xml:space="preserve"> Chapter 258C.</w:t>
      </w:r>
    </w:p>
  </w:endnote>
  <w:endnote w:id="17">
    <w:p w:rsidR="00EF7BE8" w:rsidRDefault="00EF7BE8">
      <w:pPr>
        <w:pStyle w:val="EndnoteText"/>
      </w:pPr>
      <w:r>
        <w:rPr>
          <w:rStyle w:val="EndnoteReference"/>
        </w:rPr>
        <w:endnoteRef/>
      </w:r>
      <w:r>
        <w:t xml:space="preserve"> M.G.L. c. 258</w:t>
      </w:r>
      <w:proofErr w:type="gramStart"/>
      <w:r>
        <w:t>C,  §</w:t>
      </w:r>
      <w:proofErr w:type="gramEnd"/>
      <w:r>
        <w:t>3(e).</w:t>
      </w:r>
    </w:p>
  </w:endnote>
  <w:endnote w:id="18">
    <w:p w:rsidR="00EF7BE8" w:rsidRDefault="00EF7BE8">
      <w:pPr>
        <w:pStyle w:val="EndnoteText"/>
      </w:pPr>
      <w:r>
        <w:rPr>
          <w:rStyle w:val="EndnoteReference"/>
        </w:rPr>
        <w:endnoteRef/>
      </w:r>
      <w:r>
        <w:t xml:space="preserve"> M.G.L. c. 258</w:t>
      </w:r>
      <w:proofErr w:type="gramStart"/>
      <w:r>
        <w:t>C,  §</w:t>
      </w:r>
      <w:proofErr w:type="gramEnd"/>
      <w:r>
        <w:t>3(o).</w:t>
      </w:r>
    </w:p>
  </w:endnote>
  <w:endnote w:id="19">
    <w:p w:rsidR="00EF7BE8" w:rsidRDefault="00EF7BE8" w:rsidP="00E10A58">
      <w:pPr>
        <w:pStyle w:val="EndnoteText"/>
      </w:pPr>
      <w:r>
        <w:rPr>
          <w:rStyle w:val="EndnoteReference"/>
        </w:rPr>
        <w:endnoteRef/>
      </w:r>
      <w:r>
        <w:t>M.G.L. c. 258</w:t>
      </w:r>
      <w:proofErr w:type="gramStart"/>
      <w:r>
        <w:t>C,  §</w:t>
      </w:r>
      <w:proofErr w:type="gramEnd"/>
      <w:r>
        <w:t xml:space="preserve">3(u). </w:t>
      </w:r>
    </w:p>
  </w:endnote>
  <w:endnote w:id="20">
    <w:p w:rsidR="00EF7BE8" w:rsidRDefault="00EF7BE8" w:rsidP="00E10A58">
      <w:pPr>
        <w:pStyle w:val="EndnoteText"/>
      </w:pPr>
      <w:r>
        <w:rPr>
          <w:rStyle w:val="EndnoteReference"/>
        </w:rPr>
        <w:endnoteRef/>
      </w:r>
      <w:r>
        <w:t xml:space="preserve"> M.G.L. c. 258</w:t>
      </w:r>
      <w:proofErr w:type="gramStart"/>
      <w:r>
        <w:t>C,  §</w:t>
      </w:r>
      <w:proofErr w:type="gramEnd"/>
      <w:r>
        <w:t>3(l).</w:t>
      </w:r>
    </w:p>
  </w:endnote>
  <w:endnote w:id="21">
    <w:p w:rsidR="00EF7BE8" w:rsidRDefault="00EF7BE8" w:rsidP="00E10A58">
      <w:pPr>
        <w:pStyle w:val="EndnoteText"/>
      </w:pPr>
      <w:r>
        <w:rPr>
          <w:rStyle w:val="EndnoteReference"/>
        </w:rPr>
        <w:endnoteRef/>
      </w:r>
      <w:r>
        <w:t xml:space="preserve"> M.G.L. c. 258</w:t>
      </w:r>
      <w:proofErr w:type="gramStart"/>
      <w:r>
        <w:t>C,  §</w:t>
      </w:r>
      <w:proofErr w:type="gramEnd"/>
      <w:r>
        <w:t>3(j).</w:t>
      </w:r>
    </w:p>
  </w:endnote>
  <w:endnote w:id="22">
    <w:p w:rsidR="00EF7BE8" w:rsidRDefault="00EF7BE8" w:rsidP="00E10A58">
      <w:pPr>
        <w:pStyle w:val="EndnoteText"/>
      </w:pPr>
      <w:r>
        <w:rPr>
          <w:rStyle w:val="EndnoteReference"/>
        </w:rPr>
        <w:endnoteRef/>
      </w:r>
      <w:r>
        <w:t xml:space="preserve"> M.G.L. c. 258</w:t>
      </w:r>
      <w:proofErr w:type="gramStart"/>
      <w:r>
        <w:t>C,  §</w:t>
      </w:r>
      <w:proofErr w:type="gramEnd"/>
      <w:r>
        <w:t>3(k).</w:t>
      </w:r>
    </w:p>
  </w:endnote>
  <w:endnote w:id="23">
    <w:p w:rsidR="00EF7BE8" w:rsidRDefault="00EF7BE8">
      <w:pPr>
        <w:pStyle w:val="EndnoteText"/>
      </w:pPr>
      <w:r>
        <w:rPr>
          <w:rStyle w:val="EndnoteReference"/>
        </w:rPr>
        <w:endnoteRef/>
      </w:r>
      <w:r>
        <w:t xml:space="preserve">M.G.L. c. 258C, § 3(r). </w:t>
      </w:r>
    </w:p>
  </w:endnote>
  <w:endnote w:id="24">
    <w:p w:rsidR="00EF7BE8" w:rsidRDefault="00EF7BE8">
      <w:pPr>
        <w:pStyle w:val="EndnoteText"/>
      </w:pPr>
      <w:r>
        <w:rPr>
          <w:rStyle w:val="EndnoteReference"/>
        </w:rPr>
        <w:endnoteRef/>
      </w:r>
      <w:r>
        <w:t xml:space="preserve"> M.G.L. c. 258</w:t>
      </w:r>
      <w:proofErr w:type="gramStart"/>
      <w:r>
        <w:t>C,  §</w:t>
      </w:r>
      <w:proofErr w:type="gramEnd"/>
      <w:r>
        <w:t>3(c).</w:t>
      </w:r>
    </w:p>
  </w:endnote>
  <w:endnote w:id="25">
    <w:p w:rsidR="00EF7BE8" w:rsidRDefault="00EF7BE8">
      <w:pPr>
        <w:pStyle w:val="EndnoteText"/>
      </w:pPr>
      <w:r>
        <w:rPr>
          <w:rStyle w:val="EndnoteReference"/>
        </w:rPr>
        <w:endnoteRef/>
      </w:r>
      <w:r>
        <w:t xml:space="preserve"> M.G.L. c. 258</w:t>
      </w:r>
      <w:proofErr w:type="gramStart"/>
      <w:r>
        <w:t>C,  §</w:t>
      </w:r>
      <w:proofErr w:type="gramEnd"/>
      <w:r>
        <w:t>3(f).</w:t>
      </w:r>
    </w:p>
  </w:endnote>
  <w:endnote w:id="26">
    <w:p w:rsidR="00EF7BE8" w:rsidRDefault="00EF7BE8">
      <w:pPr>
        <w:pStyle w:val="EndnoteText"/>
      </w:pPr>
      <w:r>
        <w:rPr>
          <w:rStyle w:val="EndnoteReference"/>
        </w:rPr>
        <w:endnoteRef/>
      </w:r>
      <w:r>
        <w:t xml:space="preserve"> M.G.L. c. 258</w:t>
      </w:r>
      <w:proofErr w:type="gramStart"/>
      <w:r>
        <w:t>C,  §</w:t>
      </w:r>
      <w:proofErr w:type="gramEnd"/>
      <w:r>
        <w:t>3(l).</w:t>
      </w:r>
    </w:p>
  </w:endnote>
  <w:endnote w:id="27">
    <w:p w:rsidR="00EF7BE8" w:rsidRDefault="00EF7BE8">
      <w:pPr>
        <w:pStyle w:val="EndnoteText"/>
      </w:pPr>
      <w:r>
        <w:rPr>
          <w:rStyle w:val="EndnoteReference"/>
        </w:rPr>
        <w:endnoteRef/>
      </w:r>
      <w:r>
        <w:t xml:space="preserve"> M.G.L. c. 258C, §3(d).</w:t>
      </w:r>
    </w:p>
  </w:endnote>
  <w:endnote w:id="28">
    <w:p w:rsidR="00EF7BE8" w:rsidRDefault="00EF7BE8">
      <w:pPr>
        <w:pStyle w:val="EndnoteText"/>
      </w:pPr>
      <w:r>
        <w:rPr>
          <w:rStyle w:val="EndnoteReference"/>
        </w:rPr>
        <w:endnoteRef/>
      </w:r>
      <w:r>
        <w:t xml:space="preserve"> M.G.L. c. 258C, §3(h).</w:t>
      </w:r>
    </w:p>
  </w:endnote>
  <w:endnote w:id="29">
    <w:p w:rsidR="00EF7BE8" w:rsidRDefault="00EF7BE8" w:rsidP="00E10A58">
      <w:pPr>
        <w:pStyle w:val="EndnoteText"/>
      </w:pPr>
      <w:r>
        <w:rPr>
          <w:rStyle w:val="EndnoteReference"/>
        </w:rPr>
        <w:endnoteRef/>
      </w:r>
      <w:r>
        <w:t xml:space="preserve"> M.G.L. c. 258C, §3(</w:t>
      </w:r>
      <w:proofErr w:type="spellStart"/>
      <w:r>
        <w:t>i</w:t>
      </w:r>
      <w:proofErr w:type="spellEnd"/>
      <w:r>
        <w:t>).</w:t>
      </w:r>
    </w:p>
  </w:endnote>
  <w:endnote w:id="30">
    <w:p w:rsidR="00EF7BE8" w:rsidRDefault="00EF7BE8">
      <w:pPr>
        <w:pStyle w:val="EndnoteText"/>
      </w:pPr>
      <w:r>
        <w:rPr>
          <w:rStyle w:val="EndnoteReference"/>
        </w:rPr>
        <w:endnoteRef/>
      </w:r>
      <w:r>
        <w:t xml:space="preserve"> M.G.L. c. 258</w:t>
      </w:r>
      <w:proofErr w:type="gramStart"/>
      <w:r>
        <w:t>C,  §</w:t>
      </w:r>
      <w:proofErr w:type="gramEnd"/>
      <w:r>
        <w:t>3(j).</w:t>
      </w:r>
    </w:p>
  </w:endnote>
  <w:endnote w:id="31">
    <w:p w:rsidR="00EF7BE8" w:rsidRDefault="00EF7BE8">
      <w:pPr>
        <w:pStyle w:val="EndnoteText"/>
      </w:pPr>
      <w:r>
        <w:rPr>
          <w:rStyle w:val="EndnoteReference"/>
        </w:rPr>
        <w:endnoteRef/>
      </w:r>
      <w:r>
        <w:t xml:space="preserve"> M.G.L. c. 258</w:t>
      </w:r>
      <w:proofErr w:type="gramStart"/>
      <w:r>
        <w:t>C,  §</w:t>
      </w:r>
      <w:proofErr w:type="gramEnd"/>
      <w:r>
        <w:t>3(k).</w:t>
      </w:r>
    </w:p>
  </w:endnote>
  <w:endnote w:id="32">
    <w:p w:rsidR="00EF7BE8" w:rsidRDefault="00EF7BE8">
      <w:pPr>
        <w:pStyle w:val="EndnoteText"/>
      </w:pPr>
      <w:r>
        <w:rPr>
          <w:rStyle w:val="EndnoteReference"/>
        </w:rPr>
        <w:endnoteRef/>
      </w:r>
      <w:r>
        <w:t xml:space="preserve"> M.G.L. c. 258C, §3(m).</w:t>
      </w:r>
    </w:p>
  </w:endnote>
  <w:endnote w:id="33">
    <w:p w:rsidR="00EF7BE8" w:rsidRDefault="00EF7BE8">
      <w:pPr>
        <w:pStyle w:val="EndnoteText"/>
      </w:pPr>
      <w:r>
        <w:rPr>
          <w:rStyle w:val="EndnoteReference"/>
        </w:rPr>
        <w:endnoteRef/>
      </w:r>
      <w:r>
        <w:t xml:space="preserve"> M.G.L. c. 209</w:t>
      </w:r>
      <w:proofErr w:type="gramStart"/>
      <w:r>
        <w:t>A,  §</w:t>
      </w:r>
      <w:proofErr w:type="gramEnd"/>
      <w:r>
        <w:t>6.</w:t>
      </w:r>
    </w:p>
    <w:p w:rsidR="00916BEF" w:rsidRDefault="00916BEF" w:rsidP="00916BEF">
      <w:pPr>
        <w:rPr>
          <w:noProof/>
        </w:rPr>
      </w:pPr>
    </w:p>
    <w:p w:rsidR="008D7F11" w:rsidRPr="004D30A9" w:rsidRDefault="008D7F11" w:rsidP="008D7F11">
      <w:pPr>
        <w:rPr>
          <w:noProof/>
        </w:rPr>
      </w:pPr>
      <w:r>
        <w:rPr>
          <w:noProof/>
        </w:rPr>
        <w:t>Issued by: Chief Paul E. Storti</w:t>
      </w:r>
    </w:p>
    <w:p w:rsidR="008D7F11" w:rsidRDefault="008D7F11" w:rsidP="00916BEF">
      <w:r w:rsidRPr="00F164D0">
        <w:rPr>
          <w:noProof/>
        </w:rPr>
        <w:drawing>
          <wp:inline distT="0" distB="0" distL="0" distR="0" wp14:anchorId="3B600F04" wp14:editId="6F2CEBD6">
            <wp:extent cx="3076575" cy="838200"/>
            <wp:effectExtent l="0" t="0" r="0" b="0"/>
            <wp:docPr id="3" name="Picture 1"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38200"/>
                    </a:xfrm>
                    <a:prstGeom prst="rect">
                      <a:avLst/>
                    </a:prstGeom>
                    <a:noFill/>
                    <a:ln>
                      <a:noFill/>
                    </a:ln>
                  </pic:spPr>
                </pic:pic>
              </a:graphicData>
            </a:graphic>
          </wp:inline>
        </w:drawing>
      </w:r>
    </w:p>
    <w:p w:rsidR="00524F8D" w:rsidRDefault="00524F8D" w:rsidP="00524F8D"/>
    <w:p w:rsidR="00524F8D" w:rsidRDefault="00524F8D">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F7BE8">
    <w:pPr>
      <w:pStyle w:val="Footer"/>
      <w:pBdr>
        <w:top w:val="single" w:sz="4" w:space="1" w:color="auto"/>
      </w:pBdr>
      <w:jc w:val="center"/>
    </w:pPr>
    <w:r>
      <w:t>Police Department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00AE9">
    <w:pPr>
      <w:pStyle w:val="Footer"/>
      <w:pBdr>
        <w:top w:val="single" w:sz="4" w:space="1" w:color="auto"/>
      </w:pBdr>
      <w:jc w:val="center"/>
    </w:pPr>
    <w:r>
      <w:t>Policy &amp; Procedure</w:t>
    </w:r>
    <w:r w:rsidR="00EF7BE8">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00AE9">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C0" w:rsidRDefault="00D16BC0">
      <w:r>
        <w:separator/>
      </w:r>
    </w:p>
  </w:footnote>
  <w:footnote w:type="continuationSeparator" w:id="0">
    <w:p w:rsidR="00D16BC0" w:rsidRDefault="00D16B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F7BE8" w:rsidP="00E10A58">
    <w:pPr>
      <w:pStyle w:val="Header"/>
      <w:pBdr>
        <w:bottom w:val="single" w:sz="4" w:space="1" w:color="auto"/>
      </w:pBdr>
      <w:tabs>
        <w:tab w:val="clear" w:pos="4320"/>
        <w:tab w:val="clear" w:pos="8640"/>
        <w:tab w:val="center" w:pos="4680"/>
        <w:tab w:val="right" w:pos="9360"/>
      </w:tabs>
    </w:pPr>
    <w:r>
      <w:rPr>
        <w:rStyle w:val="PageNumber"/>
      </w:rPr>
      <w:fldChar w:fldCharType="begin"/>
    </w:r>
    <w:r>
      <w:rPr>
        <w:rStyle w:val="PageNumber"/>
      </w:rPr>
      <w:instrText xml:space="preserve"> PAGE </w:instrText>
    </w:r>
    <w:r>
      <w:rPr>
        <w:rStyle w:val="PageNumber"/>
      </w:rPr>
      <w:fldChar w:fldCharType="separate"/>
    </w:r>
    <w:r w:rsidR="00E00AE9">
      <w:rPr>
        <w:rStyle w:val="PageNumber"/>
        <w:noProof/>
      </w:rPr>
      <w:t>2</w:t>
    </w:r>
    <w:r>
      <w:rPr>
        <w:rStyle w:val="PageNumber"/>
      </w:rPr>
      <w:fldChar w:fldCharType="end"/>
    </w:r>
    <w:r>
      <w:tab/>
      <w:t>Policies &amp; Procedures</w: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F7BE8" w:rsidP="00E10A58">
    <w:pPr>
      <w:pStyle w:val="Header"/>
      <w:pBdr>
        <w:bottom w:val="single" w:sz="4" w:space="1" w:color="auto"/>
      </w:pBdr>
      <w:tabs>
        <w:tab w:val="clear" w:pos="4320"/>
        <w:tab w:val="clear" w:pos="8640"/>
        <w:tab w:val="center" w:pos="4680"/>
        <w:tab w:val="right" w:pos="9360"/>
      </w:tabs>
    </w:pPr>
    <w:r>
      <w:tab/>
      <w:t>Victim/Witness Assistance</w:t>
    </w:r>
    <w:r>
      <w:tab/>
      <w:t xml:space="preserve">    </w:t>
    </w:r>
    <w:r>
      <w:rPr>
        <w:rStyle w:val="PageNumber"/>
      </w:rPr>
      <w:fldChar w:fldCharType="begin"/>
    </w:r>
    <w:r>
      <w:rPr>
        <w:rStyle w:val="PageNumber"/>
      </w:rPr>
      <w:instrText xml:space="preserve"> PAGE </w:instrText>
    </w:r>
    <w:r>
      <w:rPr>
        <w:rStyle w:val="PageNumber"/>
      </w:rPr>
      <w:fldChar w:fldCharType="separate"/>
    </w:r>
    <w:r w:rsidR="008D7F11">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BE8" w:rsidRDefault="00EF7BE8">
    <w:pPr>
      <w:pStyle w:val="Header"/>
      <w:jc w:val="cent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2CF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84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6C41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10B1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ECC2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B23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96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8B3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FA9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C5A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45091"/>
    <w:multiLevelType w:val="multilevel"/>
    <w:tmpl w:val="66A66DB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66F76D9"/>
    <w:multiLevelType w:val="multilevel"/>
    <w:tmpl w:val="94DAD96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i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AE56EE1"/>
    <w:multiLevelType w:val="hybridMultilevel"/>
    <w:tmpl w:val="3C90D388"/>
    <w:lvl w:ilvl="0" w:tplc="A5AAD7E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8D262A"/>
    <w:multiLevelType w:val="multilevel"/>
    <w:tmpl w:val="49BE68B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i w:val="0"/>
      </w:rPr>
    </w:lvl>
    <w:lvl w:ilvl="5">
      <w:start w:val="1"/>
      <w:numFmt w:val="lowerLetter"/>
      <w:lvlText w:val="%6)"/>
      <w:lvlJc w:val="left"/>
      <w:pPr>
        <w:tabs>
          <w:tab w:val="num" w:pos="2160"/>
        </w:tabs>
        <w:ind w:left="2160" w:hanging="360"/>
      </w:pPr>
      <w:rPr>
        <w:rFonts w:hint="default"/>
        <w:i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2E65E1"/>
    <w:multiLevelType w:val="multilevel"/>
    <w:tmpl w:val="5F1ACB5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2160"/>
        </w:tabs>
        <w:ind w:left="2160" w:hanging="360"/>
      </w:pPr>
      <w:rPr>
        <w:rFonts w:hint="default"/>
        <w:i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A77AF1"/>
    <w:multiLevelType w:val="singleLevel"/>
    <w:tmpl w:val="72547170"/>
    <w:lvl w:ilvl="0">
      <w:start w:val="1"/>
      <w:numFmt w:val="decimal"/>
      <w:lvlText w:val="%1."/>
      <w:lvlJc w:val="left"/>
      <w:pPr>
        <w:tabs>
          <w:tab w:val="num" w:pos="1440"/>
        </w:tabs>
        <w:ind w:left="1440" w:hanging="720"/>
      </w:pPr>
      <w:rPr>
        <w:rFonts w:hint="default"/>
      </w:rPr>
    </w:lvl>
  </w:abstractNum>
  <w:abstractNum w:abstractNumId="16" w15:restartNumberingAfterBreak="0">
    <w:nsid w:val="32DF55AC"/>
    <w:multiLevelType w:val="hybridMultilevel"/>
    <w:tmpl w:val="10085EF0"/>
    <w:lvl w:ilvl="0" w:tplc="05EEE4B8">
      <w:start w:val="3"/>
      <w:numFmt w:val="decimal"/>
      <w:lvlText w:val="%1."/>
      <w:lvlJc w:val="left"/>
      <w:pPr>
        <w:tabs>
          <w:tab w:val="num" w:pos="1080"/>
        </w:tabs>
        <w:ind w:left="1080" w:hanging="360"/>
      </w:pPr>
      <w:rPr>
        <w:rFonts w:hint="default"/>
      </w:rPr>
    </w:lvl>
    <w:lvl w:ilvl="1" w:tplc="AC3CEBB4">
      <w:start w:val="5"/>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300338"/>
    <w:multiLevelType w:val="singleLevel"/>
    <w:tmpl w:val="5E4847D6"/>
    <w:lvl w:ilvl="0">
      <w:start w:val="1"/>
      <w:numFmt w:val="upperLetter"/>
      <w:lvlText w:val="%1."/>
      <w:lvlJc w:val="left"/>
      <w:pPr>
        <w:tabs>
          <w:tab w:val="num" w:pos="720"/>
        </w:tabs>
        <w:ind w:left="720" w:hanging="720"/>
      </w:pPr>
      <w:rPr>
        <w:rFonts w:hint="default"/>
      </w:rPr>
    </w:lvl>
  </w:abstractNum>
  <w:abstractNum w:abstractNumId="18" w15:restartNumberingAfterBreak="0">
    <w:nsid w:val="38431E99"/>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485057B5"/>
    <w:multiLevelType w:val="multilevel"/>
    <w:tmpl w:val="49BE68B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i w:val="0"/>
      </w:rPr>
    </w:lvl>
    <w:lvl w:ilvl="5">
      <w:start w:val="1"/>
      <w:numFmt w:val="lowerLetter"/>
      <w:lvlText w:val="%6)"/>
      <w:lvlJc w:val="left"/>
      <w:pPr>
        <w:tabs>
          <w:tab w:val="num" w:pos="2160"/>
        </w:tabs>
        <w:ind w:left="2160" w:hanging="360"/>
      </w:pPr>
      <w:rPr>
        <w:rFonts w:hint="default"/>
        <w:i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0CB3B98"/>
    <w:multiLevelType w:val="singleLevel"/>
    <w:tmpl w:val="D5E08514"/>
    <w:lvl w:ilvl="0">
      <w:start w:val="8"/>
      <w:numFmt w:val="lowerLetter"/>
      <w:lvlText w:val="%1."/>
      <w:lvlJc w:val="left"/>
      <w:pPr>
        <w:tabs>
          <w:tab w:val="num" w:pos="2160"/>
        </w:tabs>
        <w:ind w:left="2160" w:hanging="720"/>
      </w:pPr>
      <w:rPr>
        <w:rFonts w:hint="default"/>
        <w:i w:val="0"/>
      </w:rPr>
    </w:lvl>
  </w:abstractNum>
  <w:abstractNum w:abstractNumId="21" w15:restartNumberingAfterBreak="0">
    <w:nsid w:val="524D28DD"/>
    <w:multiLevelType w:val="singleLevel"/>
    <w:tmpl w:val="D6EEED8E"/>
    <w:lvl w:ilvl="0">
      <w:start w:val="1"/>
      <w:numFmt w:val="decimal"/>
      <w:lvlText w:val="%1."/>
      <w:lvlJc w:val="left"/>
      <w:pPr>
        <w:tabs>
          <w:tab w:val="num" w:pos="1080"/>
        </w:tabs>
        <w:ind w:left="1080" w:hanging="360"/>
      </w:pPr>
      <w:rPr>
        <w:rFonts w:hint="default"/>
      </w:rPr>
    </w:lvl>
  </w:abstractNum>
  <w:abstractNum w:abstractNumId="22" w15:restartNumberingAfterBreak="0">
    <w:nsid w:val="55032804"/>
    <w:multiLevelType w:val="hybridMultilevel"/>
    <w:tmpl w:val="DB4EE194"/>
    <w:lvl w:ilvl="0" w:tplc="04090001">
      <w:start w:val="1"/>
      <w:numFmt w:val="bullet"/>
      <w:lvlText w:val=""/>
      <w:lvlJc w:val="left"/>
      <w:pPr>
        <w:tabs>
          <w:tab w:val="num" w:pos="1162"/>
        </w:tabs>
        <w:ind w:left="1162" w:hanging="360"/>
      </w:pPr>
      <w:rPr>
        <w:rFonts w:ascii="Symbol" w:hAnsi="Symbol" w:hint="default"/>
      </w:rPr>
    </w:lvl>
    <w:lvl w:ilvl="1" w:tplc="04090003" w:tentative="1">
      <w:start w:val="1"/>
      <w:numFmt w:val="bullet"/>
      <w:lvlText w:val="o"/>
      <w:lvlJc w:val="left"/>
      <w:pPr>
        <w:tabs>
          <w:tab w:val="num" w:pos="1882"/>
        </w:tabs>
        <w:ind w:left="1882" w:hanging="360"/>
      </w:pPr>
      <w:rPr>
        <w:rFonts w:ascii="Courier New" w:hAnsi="Courier New" w:hint="default"/>
      </w:rPr>
    </w:lvl>
    <w:lvl w:ilvl="2" w:tplc="04090005" w:tentative="1">
      <w:start w:val="1"/>
      <w:numFmt w:val="bullet"/>
      <w:lvlText w:val=""/>
      <w:lvlJc w:val="left"/>
      <w:pPr>
        <w:tabs>
          <w:tab w:val="num" w:pos="2602"/>
        </w:tabs>
        <w:ind w:left="2602" w:hanging="360"/>
      </w:pPr>
      <w:rPr>
        <w:rFonts w:ascii="Wingdings" w:hAnsi="Wingdings" w:hint="default"/>
      </w:rPr>
    </w:lvl>
    <w:lvl w:ilvl="3" w:tplc="04090001" w:tentative="1">
      <w:start w:val="1"/>
      <w:numFmt w:val="bullet"/>
      <w:lvlText w:val=""/>
      <w:lvlJc w:val="left"/>
      <w:pPr>
        <w:tabs>
          <w:tab w:val="num" w:pos="3322"/>
        </w:tabs>
        <w:ind w:left="3322" w:hanging="360"/>
      </w:pPr>
      <w:rPr>
        <w:rFonts w:ascii="Symbol" w:hAnsi="Symbol" w:hint="default"/>
      </w:rPr>
    </w:lvl>
    <w:lvl w:ilvl="4" w:tplc="04090003" w:tentative="1">
      <w:start w:val="1"/>
      <w:numFmt w:val="bullet"/>
      <w:lvlText w:val="o"/>
      <w:lvlJc w:val="left"/>
      <w:pPr>
        <w:tabs>
          <w:tab w:val="num" w:pos="4042"/>
        </w:tabs>
        <w:ind w:left="4042" w:hanging="360"/>
      </w:pPr>
      <w:rPr>
        <w:rFonts w:ascii="Courier New" w:hAnsi="Courier New" w:hint="default"/>
      </w:rPr>
    </w:lvl>
    <w:lvl w:ilvl="5" w:tplc="04090005" w:tentative="1">
      <w:start w:val="1"/>
      <w:numFmt w:val="bullet"/>
      <w:lvlText w:val=""/>
      <w:lvlJc w:val="left"/>
      <w:pPr>
        <w:tabs>
          <w:tab w:val="num" w:pos="4762"/>
        </w:tabs>
        <w:ind w:left="4762" w:hanging="360"/>
      </w:pPr>
      <w:rPr>
        <w:rFonts w:ascii="Wingdings" w:hAnsi="Wingdings" w:hint="default"/>
      </w:rPr>
    </w:lvl>
    <w:lvl w:ilvl="6" w:tplc="04090001" w:tentative="1">
      <w:start w:val="1"/>
      <w:numFmt w:val="bullet"/>
      <w:lvlText w:val=""/>
      <w:lvlJc w:val="left"/>
      <w:pPr>
        <w:tabs>
          <w:tab w:val="num" w:pos="5482"/>
        </w:tabs>
        <w:ind w:left="5482" w:hanging="360"/>
      </w:pPr>
      <w:rPr>
        <w:rFonts w:ascii="Symbol" w:hAnsi="Symbol" w:hint="default"/>
      </w:rPr>
    </w:lvl>
    <w:lvl w:ilvl="7" w:tplc="04090003" w:tentative="1">
      <w:start w:val="1"/>
      <w:numFmt w:val="bullet"/>
      <w:lvlText w:val="o"/>
      <w:lvlJc w:val="left"/>
      <w:pPr>
        <w:tabs>
          <w:tab w:val="num" w:pos="6202"/>
        </w:tabs>
        <w:ind w:left="6202" w:hanging="360"/>
      </w:pPr>
      <w:rPr>
        <w:rFonts w:ascii="Courier New" w:hAnsi="Courier New" w:hint="default"/>
      </w:rPr>
    </w:lvl>
    <w:lvl w:ilvl="8" w:tplc="04090005" w:tentative="1">
      <w:start w:val="1"/>
      <w:numFmt w:val="bullet"/>
      <w:lvlText w:val=""/>
      <w:lvlJc w:val="left"/>
      <w:pPr>
        <w:tabs>
          <w:tab w:val="num" w:pos="6922"/>
        </w:tabs>
        <w:ind w:left="6922" w:hanging="360"/>
      </w:pPr>
      <w:rPr>
        <w:rFonts w:ascii="Wingdings" w:hAnsi="Wingdings" w:hint="default"/>
      </w:rPr>
    </w:lvl>
  </w:abstractNum>
  <w:abstractNum w:abstractNumId="23" w15:restartNumberingAfterBreak="0">
    <w:nsid w:val="58B86680"/>
    <w:multiLevelType w:val="multilevel"/>
    <w:tmpl w:val="66A66DBC"/>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b w:val="0"/>
        <w:i w:val="0"/>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5B5D57B5"/>
    <w:multiLevelType w:val="multilevel"/>
    <w:tmpl w:val="DB4EE194"/>
    <w:lvl w:ilvl="0">
      <w:start w:val="1"/>
      <w:numFmt w:val="bullet"/>
      <w:lvlText w:val=""/>
      <w:lvlJc w:val="left"/>
      <w:pPr>
        <w:tabs>
          <w:tab w:val="num" w:pos="1162"/>
        </w:tabs>
        <w:ind w:left="1162" w:hanging="360"/>
      </w:pPr>
      <w:rPr>
        <w:rFonts w:ascii="Symbol" w:hAnsi="Symbol" w:hint="default"/>
      </w:rPr>
    </w:lvl>
    <w:lvl w:ilvl="1">
      <w:start w:val="1"/>
      <w:numFmt w:val="bullet"/>
      <w:lvlText w:val="o"/>
      <w:lvlJc w:val="left"/>
      <w:pPr>
        <w:tabs>
          <w:tab w:val="num" w:pos="1882"/>
        </w:tabs>
        <w:ind w:left="1882" w:hanging="360"/>
      </w:pPr>
      <w:rPr>
        <w:rFonts w:ascii="Courier New" w:hAnsi="Courier New" w:hint="default"/>
      </w:rPr>
    </w:lvl>
    <w:lvl w:ilvl="2">
      <w:start w:val="1"/>
      <w:numFmt w:val="bullet"/>
      <w:lvlText w:val=""/>
      <w:lvlJc w:val="left"/>
      <w:pPr>
        <w:tabs>
          <w:tab w:val="num" w:pos="2602"/>
        </w:tabs>
        <w:ind w:left="2602" w:hanging="360"/>
      </w:pPr>
      <w:rPr>
        <w:rFonts w:ascii="Wingdings" w:hAnsi="Wingdings" w:hint="default"/>
      </w:rPr>
    </w:lvl>
    <w:lvl w:ilvl="3">
      <w:start w:val="1"/>
      <w:numFmt w:val="bullet"/>
      <w:lvlText w:val=""/>
      <w:lvlJc w:val="left"/>
      <w:pPr>
        <w:tabs>
          <w:tab w:val="num" w:pos="3322"/>
        </w:tabs>
        <w:ind w:left="3322" w:hanging="360"/>
      </w:pPr>
      <w:rPr>
        <w:rFonts w:ascii="Symbol" w:hAnsi="Symbol" w:hint="default"/>
      </w:rPr>
    </w:lvl>
    <w:lvl w:ilvl="4">
      <w:start w:val="1"/>
      <w:numFmt w:val="bullet"/>
      <w:lvlText w:val="o"/>
      <w:lvlJc w:val="left"/>
      <w:pPr>
        <w:tabs>
          <w:tab w:val="num" w:pos="4042"/>
        </w:tabs>
        <w:ind w:left="4042" w:hanging="360"/>
      </w:pPr>
      <w:rPr>
        <w:rFonts w:ascii="Courier New" w:hAnsi="Courier New" w:hint="default"/>
      </w:rPr>
    </w:lvl>
    <w:lvl w:ilvl="5">
      <w:start w:val="1"/>
      <w:numFmt w:val="bullet"/>
      <w:lvlText w:val=""/>
      <w:lvlJc w:val="left"/>
      <w:pPr>
        <w:tabs>
          <w:tab w:val="num" w:pos="4762"/>
        </w:tabs>
        <w:ind w:left="4762" w:hanging="360"/>
      </w:pPr>
      <w:rPr>
        <w:rFonts w:ascii="Wingdings" w:hAnsi="Wingdings" w:hint="default"/>
      </w:rPr>
    </w:lvl>
    <w:lvl w:ilvl="6">
      <w:start w:val="1"/>
      <w:numFmt w:val="bullet"/>
      <w:lvlText w:val=""/>
      <w:lvlJc w:val="left"/>
      <w:pPr>
        <w:tabs>
          <w:tab w:val="num" w:pos="5482"/>
        </w:tabs>
        <w:ind w:left="5482" w:hanging="360"/>
      </w:pPr>
      <w:rPr>
        <w:rFonts w:ascii="Symbol" w:hAnsi="Symbol" w:hint="default"/>
      </w:rPr>
    </w:lvl>
    <w:lvl w:ilvl="7">
      <w:start w:val="1"/>
      <w:numFmt w:val="bullet"/>
      <w:lvlText w:val="o"/>
      <w:lvlJc w:val="left"/>
      <w:pPr>
        <w:tabs>
          <w:tab w:val="num" w:pos="6202"/>
        </w:tabs>
        <w:ind w:left="6202" w:hanging="360"/>
      </w:pPr>
      <w:rPr>
        <w:rFonts w:ascii="Courier New" w:hAnsi="Courier New" w:hint="default"/>
      </w:rPr>
    </w:lvl>
    <w:lvl w:ilvl="8">
      <w:start w:val="1"/>
      <w:numFmt w:val="bullet"/>
      <w:lvlText w:val=""/>
      <w:lvlJc w:val="left"/>
      <w:pPr>
        <w:tabs>
          <w:tab w:val="num" w:pos="6922"/>
        </w:tabs>
        <w:ind w:left="6922" w:hanging="360"/>
      </w:pPr>
      <w:rPr>
        <w:rFonts w:ascii="Wingdings" w:hAnsi="Wingdings" w:hint="default"/>
      </w:rPr>
    </w:lvl>
  </w:abstractNum>
  <w:abstractNum w:abstractNumId="25" w15:restartNumberingAfterBreak="0">
    <w:nsid w:val="61EA1E83"/>
    <w:multiLevelType w:val="multilevel"/>
    <w:tmpl w:val="49BE68B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i w:val="0"/>
      </w:rPr>
    </w:lvl>
    <w:lvl w:ilvl="5">
      <w:start w:val="1"/>
      <w:numFmt w:val="lowerLetter"/>
      <w:lvlText w:val="%6)"/>
      <w:lvlJc w:val="left"/>
      <w:pPr>
        <w:tabs>
          <w:tab w:val="num" w:pos="2160"/>
        </w:tabs>
        <w:ind w:left="2160" w:hanging="360"/>
      </w:pPr>
      <w:rPr>
        <w:rFonts w:hint="default"/>
        <w:i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CFC1CDB"/>
    <w:multiLevelType w:val="multilevel"/>
    <w:tmpl w:val="66A66DBC"/>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b w:val="0"/>
        <w:i w:val="0"/>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8"/>
  </w:num>
  <w:num w:numId="2">
    <w:abstractNumId w:val="17"/>
  </w:num>
  <w:num w:numId="3">
    <w:abstractNumId w:val="21"/>
  </w:num>
  <w:num w:numId="4">
    <w:abstractNumId w:val="20"/>
  </w:num>
  <w:num w:numId="5">
    <w:abstractNumId w:val="15"/>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6"/>
  </w:num>
  <w:num w:numId="20">
    <w:abstractNumId w:val="23"/>
  </w:num>
  <w:num w:numId="21">
    <w:abstractNumId w:val="10"/>
  </w:num>
  <w:num w:numId="22">
    <w:abstractNumId w:val="11"/>
  </w:num>
  <w:num w:numId="23">
    <w:abstractNumId w:val="16"/>
  </w:num>
  <w:num w:numId="24">
    <w:abstractNumId w:val="14"/>
  </w:num>
  <w:num w:numId="25">
    <w:abstractNumId w:val="1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37"/>
    <w:rsid w:val="00005452"/>
    <w:rsid w:val="00066B9C"/>
    <w:rsid w:val="00154FFC"/>
    <w:rsid w:val="001E6AC2"/>
    <w:rsid w:val="003A2E37"/>
    <w:rsid w:val="003D63C0"/>
    <w:rsid w:val="00402DA6"/>
    <w:rsid w:val="004675C8"/>
    <w:rsid w:val="00510E9C"/>
    <w:rsid w:val="00516656"/>
    <w:rsid w:val="00524F8D"/>
    <w:rsid w:val="00530F32"/>
    <w:rsid w:val="00547D5C"/>
    <w:rsid w:val="005869D4"/>
    <w:rsid w:val="005C118E"/>
    <w:rsid w:val="005F11B0"/>
    <w:rsid w:val="006F1CB9"/>
    <w:rsid w:val="00732F22"/>
    <w:rsid w:val="0086263C"/>
    <w:rsid w:val="0087779E"/>
    <w:rsid w:val="008D12FD"/>
    <w:rsid w:val="008D7F11"/>
    <w:rsid w:val="009010E2"/>
    <w:rsid w:val="00916BEF"/>
    <w:rsid w:val="00936A84"/>
    <w:rsid w:val="0096571B"/>
    <w:rsid w:val="009A5146"/>
    <w:rsid w:val="009B6BB1"/>
    <w:rsid w:val="00A27D2C"/>
    <w:rsid w:val="00A64212"/>
    <w:rsid w:val="00AB4967"/>
    <w:rsid w:val="00AC6D6E"/>
    <w:rsid w:val="00AD0F1E"/>
    <w:rsid w:val="00B5503D"/>
    <w:rsid w:val="00B92059"/>
    <w:rsid w:val="00C021C2"/>
    <w:rsid w:val="00CF4DED"/>
    <w:rsid w:val="00D16BC0"/>
    <w:rsid w:val="00D227FB"/>
    <w:rsid w:val="00D7651F"/>
    <w:rsid w:val="00E00AE9"/>
    <w:rsid w:val="00E10A58"/>
    <w:rsid w:val="00E21EB7"/>
    <w:rsid w:val="00E73B2D"/>
    <w:rsid w:val="00E76429"/>
    <w:rsid w:val="00EF7BE8"/>
    <w:rsid w:val="00F15725"/>
    <w:rsid w:val="00FE3410"/>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AFDF06"/>
  <w15:docId w15:val="{21E51CEC-1399-4CE1-98FC-C787941C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FE"/>
    <w:pPr>
      <w:spacing w:after="120"/>
    </w:pPr>
    <w:rPr>
      <w:rFonts w:ascii="Bookman Old Style" w:hAnsi="Bookman Old Style"/>
      <w:sz w:val="24"/>
    </w:rPr>
  </w:style>
  <w:style w:type="paragraph" w:styleId="Heading1">
    <w:name w:val="heading 1"/>
    <w:basedOn w:val="Normal"/>
    <w:next w:val="Normal"/>
    <w:qFormat/>
    <w:rsid w:val="007333FE"/>
    <w:pPr>
      <w:keepNext/>
      <w:outlineLvl w:val="0"/>
    </w:pPr>
    <w:rPr>
      <w:b/>
      <w:caps/>
      <w:sz w:val="36"/>
    </w:rPr>
  </w:style>
  <w:style w:type="paragraph" w:styleId="Heading2">
    <w:name w:val="heading 2"/>
    <w:basedOn w:val="Normal"/>
    <w:next w:val="Normal"/>
    <w:qFormat/>
    <w:rsid w:val="00EF7BE8"/>
    <w:pPr>
      <w:keepNext/>
      <w:outlineLvl w:val="1"/>
    </w:pPr>
    <w:rPr>
      <w:b/>
      <w:i/>
      <w:sz w:val="28"/>
    </w:rPr>
  </w:style>
  <w:style w:type="paragraph" w:styleId="Heading3">
    <w:name w:val="heading 3"/>
    <w:basedOn w:val="Normal"/>
    <w:next w:val="Normal"/>
    <w:qFormat/>
    <w:pPr>
      <w:keepNext/>
      <w:spacing w:before="240" w:after="60"/>
      <w:outlineLvl w:val="2"/>
    </w:pPr>
    <w:rPr>
      <w:b/>
      <w:i/>
      <w:sz w:val="28"/>
    </w:rPr>
  </w:style>
  <w:style w:type="paragraph" w:styleId="Heading4">
    <w:name w:val="heading 4"/>
    <w:basedOn w:val="Normal"/>
    <w:next w:val="Normal"/>
    <w:qFormat/>
    <w:rsid w:val="006321B2"/>
    <w:pPr>
      <w:keepNext/>
      <w:outlineLvl w:val="3"/>
    </w:pPr>
    <w:rPr>
      <w:caps/>
      <w:szCs w:val="24"/>
    </w:rPr>
  </w:style>
  <w:style w:type="paragraph" w:styleId="Heading5">
    <w:name w:val="heading 5"/>
    <w:basedOn w:val="Normal"/>
    <w:next w:val="Normal"/>
    <w:qFormat/>
    <w:pPr>
      <w:spacing w:before="240" w:after="60"/>
      <w:jc w:val="center"/>
      <w:outlineLvl w:val="4"/>
    </w:pPr>
    <w:rPr>
      <w:b/>
      <w: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160" w:hanging="720"/>
    </w:pPr>
  </w:style>
  <w:style w:type="paragraph" w:styleId="Title">
    <w:name w:val="Title"/>
    <w:basedOn w:val="Normal"/>
    <w:qFormat/>
    <w:rsid w:val="003D63C0"/>
    <w:pPr>
      <w:spacing w:after="480"/>
      <w:jc w:val="center"/>
      <w:outlineLvl w:val="0"/>
    </w:pPr>
    <w:rPr>
      <w:rFonts w:cs="Arial"/>
      <w:b/>
      <w:bCs/>
      <w:caps/>
      <w:kern w:val="28"/>
      <w:sz w:val="40"/>
      <w:szCs w:val="40"/>
    </w:rPr>
  </w:style>
  <w:style w:type="paragraph" w:styleId="EndnoteText">
    <w:name w:val="endnote text"/>
    <w:basedOn w:val="Normal"/>
    <w:semiHidden/>
    <w:rsid w:val="00285A3F"/>
    <w:rPr>
      <w:sz w:val="20"/>
    </w:rPr>
  </w:style>
  <w:style w:type="character" w:styleId="EndnoteReference">
    <w:name w:val="endnote reference"/>
    <w:semiHidden/>
    <w:rsid w:val="00285A3F"/>
    <w:rPr>
      <w:vertAlign w:val="superscript"/>
    </w:rPr>
  </w:style>
  <w:style w:type="paragraph" w:styleId="FootnoteText">
    <w:name w:val="footnote text"/>
    <w:basedOn w:val="Normal"/>
    <w:semiHidden/>
    <w:rsid w:val="00643360"/>
    <w:rPr>
      <w:sz w:val="20"/>
    </w:rPr>
  </w:style>
  <w:style w:type="character" w:styleId="FootnoteReference">
    <w:name w:val="footnote reference"/>
    <w:semiHidden/>
    <w:rsid w:val="00643360"/>
    <w:rPr>
      <w:vertAlign w:val="superscript"/>
    </w:rPr>
  </w:style>
  <w:style w:type="paragraph" w:styleId="BalloonText">
    <w:name w:val="Balloon Text"/>
    <w:basedOn w:val="Normal"/>
    <w:semiHidden/>
    <w:rsid w:val="00AE4E99"/>
    <w:rPr>
      <w:rFonts w:ascii="Tahoma" w:hAnsi="Tahoma" w:cs="Tahoma"/>
      <w:sz w:val="16"/>
      <w:szCs w:val="16"/>
    </w:rPr>
  </w:style>
  <w:style w:type="paragraph" w:styleId="EnvelopeAddress">
    <w:name w:val="envelope address"/>
    <w:basedOn w:val="Normal"/>
    <w:link w:val="EnvelopeAddressChar"/>
    <w:rsid w:val="00E75621"/>
    <w:pPr>
      <w:framePr w:w="7920" w:h="1980" w:hRule="exact" w:hSpace="180" w:wrap="auto" w:hAnchor="page" w:xAlign="center" w:yAlign="bottom"/>
      <w:ind w:left="2880"/>
    </w:pPr>
    <w:rPr>
      <w:rFonts w:ascii="Arial" w:hAnsi="Arial" w:cs="Arial"/>
      <w:szCs w:val="24"/>
    </w:rPr>
  </w:style>
  <w:style w:type="character" w:customStyle="1" w:styleId="EnvelopeAddressChar">
    <w:name w:val="Envelope Address Char"/>
    <w:link w:val="EnvelopeAddress"/>
    <w:rsid w:val="00E75621"/>
    <w:rPr>
      <w:rFonts w:ascii="Arial" w:hAnsi="Arial" w:cs="Arial"/>
      <w:sz w:val="24"/>
      <w:szCs w:val="24"/>
      <w:lang w:val="en-US" w:eastAsia="en-US" w:bidi="ar-SA"/>
    </w:rPr>
  </w:style>
  <w:style w:type="table" w:styleId="TableGrid">
    <w:name w:val="Table Grid"/>
    <w:basedOn w:val="TableNormal"/>
    <w:rsid w:val="00524F8D"/>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2149</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VICTIM/WITNESS ASSISTANCE</vt:lpstr>
    </vt:vector>
  </TitlesOfParts>
  <Company>MPI</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VICTIM/WITNESS ASSISTANCE</dc:title>
  <dc:subject>MPI Model Policy 2008</dc:subject>
  <dc:creator>John M. Collins</dc:creator>
  <dc:description>Updated by Daniel G. Sklut. Final version.</dc:description>
  <cp:lastModifiedBy>Becker, Cara</cp:lastModifiedBy>
  <cp:revision>3</cp:revision>
  <cp:lastPrinted>2019-10-04T12:52:00Z</cp:lastPrinted>
  <dcterms:created xsi:type="dcterms:W3CDTF">2021-04-12T15:17:00Z</dcterms:created>
  <dcterms:modified xsi:type="dcterms:W3CDTF">2021-04-12T15:18:00Z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1361015970</vt:i4>
  </property>
  <property fmtid="{D5CDD505-2E9C-101B-9397-08002B2CF9AE}" pid="3" name="_EmailSubject">
    <vt:lpwstr>For Final Approval: Victim Witness Assistance</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-1962151885</vt:i4>
  </property>
  <property fmtid="{D5CDD505-2E9C-101B-9397-08002B2CF9AE}" pid="7" name="_ReviewingToolsShownOnce">
    <vt:lpwstr/>
  </property>
</Properties>
</file>